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sz w:val="32"/>
          <w:szCs w:val="32"/>
        </w:rPr>
      </w:pPr>
    </w:p>
    <w:p>
      <w:pPr>
        <w:rPr>
          <w:sz w:val="32"/>
          <w:szCs w:val="32"/>
        </w:rPr>
      </w:pPr>
    </w:p>
    <w:p>
      <w:pPr>
        <w:jc w:val="center"/>
        <w:rPr>
          <w:rFonts w:ascii="仿宋_GB2312" w:eastAsia="仿宋_GB2312"/>
          <w:b/>
          <w:sz w:val="44"/>
          <w:szCs w:val="44"/>
        </w:rPr>
      </w:pPr>
      <w:r>
        <w:rPr>
          <w:rFonts w:hint="eastAsia" w:ascii="仿宋_GB2312" w:eastAsia="仿宋_GB2312"/>
          <w:b/>
          <w:sz w:val="44"/>
          <w:szCs w:val="44"/>
        </w:rPr>
        <w:t>绵阳机场（集团）有限公司</w:t>
      </w:r>
    </w:p>
    <w:p>
      <w:pPr>
        <w:jc w:val="center"/>
        <w:rPr>
          <w:rFonts w:ascii="仿宋_GB2312" w:eastAsia="仿宋_GB2312"/>
          <w:b/>
          <w:sz w:val="44"/>
          <w:szCs w:val="44"/>
        </w:rPr>
      </w:pPr>
      <w:r>
        <w:rPr>
          <w:rFonts w:hint="eastAsia" w:ascii="仿宋_GB2312" w:eastAsia="仿宋_GB2312"/>
          <w:b/>
          <w:sz w:val="44"/>
          <w:szCs w:val="44"/>
        </w:rPr>
        <w:t>驱鸟设备采购项目</w:t>
      </w:r>
    </w:p>
    <w:p>
      <w:pPr>
        <w:jc w:val="center"/>
        <w:rPr>
          <w:rFonts w:ascii="仿宋_GB2312" w:eastAsia="仿宋_GB2312"/>
          <w:b/>
          <w:sz w:val="44"/>
          <w:szCs w:val="44"/>
        </w:rPr>
      </w:pPr>
      <w:r>
        <w:rPr>
          <w:rFonts w:hint="eastAsia" w:ascii="仿宋_GB2312" w:eastAsia="仿宋_GB2312"/>
          <w:b/>
          <w:sz w:val="44"/>
          <w:szCs w:val="44"/>
        </w:rPr>
        <w:t>竞争性磋商资料</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jc w:val="center"/>
        <w:rPr>
          <w:rFonts w:ascii="仿宋_GB2312" w:eastAsia="仿宋_GB2312"/>
          <w:b/>
          <w:sz w:val="40"/>
          <w:szCs w:val="40"/>
        </w:rPr>
      </w:pPr>
      <w:r>
        <w:rPr>
          <w:rFonts w:hint="eastAsia" w:ascii="仿宋_GB2312" w:eastAsia="仿宋_GB2312"/>
          <w:b/>
          <w:sz w:val="40"/>
          <w:szCs w:val="40"/>
        </w:rPr>
        <w:t>2020年3月</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jc w:val="both"/>
        <w:rPr>
          <w:rFonts w:hint="eastAsia" w:ascii="仿宋_GB2312" w:eastAsia="仿宋_GB2312"/>
          <w:bCs/>
          <w:sz w:val="36"/>
          <w:szCs w:val="36"/>
        </w:rPr>
      </w:pPr>
    </w:p>
    <w:p>
      <w:pPr>
        <w:jc w:val="center"/>
        <w:rPr>
          <w:rFonts w:ascii="仿宋_GB2312" w:eastAsia="仿宋_GB2312"/>
          <w:bCs/>
          <w:sz w:val="36"/>
          <w:szCs w:val="36"/>
        </w:rPr>
      </w:pPr>
      <w:r>
        <w:rPr>
          <w:rFonts w:hint="eastAsia" w:ascii="仿宋_GB2312" w:eastAsia="仿宋_GB2312"/>
          <w:bCs/>
          <w:sz w:val="36"/>
          <w:szCs w:val="36"/>
        </w:rPr>
        <w:t>绵阳机场（集团）有限公司</w:t>
      </w:r>
    </w:p>
    <w:p>
      <w:pPr>
        <w:jc w:val="center"/>
        <w:rPr>
          <w:rFonts w:ascii="仿宋_GB2312" w:eastAsia="仿宋_GB2312"/>
          <w:bCs/>
          <w:sz w:val="36"/>
          <w:szCs w:val="36"/>
        </w:rPr>
      </w:pPr>
      <w:r>
        <w:rPr>
          <w:rFonts w:hint="eastAsia" w:ascii="仿宋_GB2312" w:eastAsia="仿宋_GB2312"/>
          <w:bCs/>
          <w:sz w:val="36"/>
          <w:szCs w:val="36"/>
        </w:rPr>
        <w:t>关于驱鸟设备采购项目</w:t>
      </w:r>
    </w:p>
    <w:p>
      <w:pPr>
        <w:jc w:val="center"/>
        <w:rPr>
          <w:rFonts w:ascii="仿宋_GB2312" w:eastAsia="仿宋_GB2312"/>
          <w:b/>
          <w:sz w:val="32"/>
          <w:szCs w:val="32"/>
        </w:rPr>
      </w:pPr>
      <w:r>
        <w:rPr>
          <w:rFonts w:hint="eastAsia" w:ascii="仿宋_GB2312" w:eastAsia="仿宋_GB2312"/>
          <w:bCs/>
          <w:sz w:val="36"/>
          <w:szCs w:val="36"/>
        </w:rPr>
        <w:t>竞争性磋商公告</w:t>
      </w:r>
    </w:p>
    <w:p>
      <w:pPr>
        <w:ind w:firstLine="480" w:firstLineChars="150"/>
        <w:rPr>
          <w:rFonts w:ascii="仿宋_GB2312" w:eastAsia="仿宋_GB2312"/>
          <w:sz w:val="32"/>
          <w:szCs w:val="32"/>
        </w:rPr>
      </w:pPr>
      <w:r>
        <w:rPr>
          <w:rFonts w:hint="eastAsia" w:ascii="仿宋_GB2312" w:eastAsia="仿宋_GB2312"/>
          <w:sz w:val="32"/>
          <w:szCs w:val="32"/>
        </w:rPr>
        <w:t>一、本项目现通过竞争性磋商方式确定中选人，诚邀符合资格条件的潜在申请人参与本项目的竞争性磋商。</w:t>
      </w:r>
    </w:p>
    <w:p>
      <w:pPr>
        <w:ind w:firstLine="480" w:firstLineChars="150"/>
        <w:rPr>
          <w:rFonts w:ascii="仿宋_GB2312" w:eastAsia="仿宋_GB2312"/>
          <w:sz w:val="32"/>
          <w:szCs w:val="32"/>
        </w:rPr>
      </w:pPr>
      <w:r>
        <w:rPr>
          <w:rFonts w:hint="eastAsia" w:ascii="仿宋_GB2312" w:eastAsia="仿宋_GB2312"/>
          <w:sz w:val="32"/>
          <w:szCs w:val="32"/>
        </w:rPr>
        <w:t>二、竞争性磋商项目概况（表一）：</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rPr>
                <w:rFonts w:ascii="仿宋_GB2312" w:eastAsia="仿宋_GB2312"/>
                <w:sz w:val="32"/>
                <w:szCs w:val="32"/>
              </w:rPr>
            </w:pPr>
            <w:r>
              <w:rPr>
                <w:rFonts w:hint="eastAsia" w:ascii="仿宋_GB2312" w:eastAsia="仿宋_GB2312"/>
                <w:sz w:val="32"/>
                <w:szCs w:val="32"/>
              </w:rPr>
              <w:t>项目业主</w:t>
            </w:r>
          </w:p>
        </w:tc>
        <w:tc>
          <w:tcPr>
            <w:tcW w:w="6794" w:type="dxa"/>
          </w:tcPr>
          <w:p>
            <w:pPr>
              <w:rPr>
                <w:rFonts w:ascii="仿宋_GB2312" w:eastAsia="仿宋_GB2312"/>
                <w:sz w:val="32"/>
                <w:szCs w:val="32"/>
              </w:rPr>
            </w:pPr>
            <w:r>
              <w:rPr>
                <w:rFonts w:hint="eastAsia" w:ascii="仿宋_GB2312" w:eastAsia="仿宋_GB2312"/>
                <w:sz w:val="32"/>
                <w:szCs w:val="32"/>
              </w:rPr>
              <w:t>绵阳机场（集团）有限公司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rPr>
                <w:rFonts w:ascii="仿宋_GB2312" w:eastAsia="仿宋_GB2312"/>
                <w:sz w:val="32"/>
                <w:szCs w:val="32"/>
              </w:rPr>
            </w:pPr>
            <w:r>
              <w:rPr>
                <w:rFonts w:hint="eastAsia" w:ascii="仿宋_GB2312" w:eastAsia="仿宋_GB2312"/>
                <w:sz w:val="32"/>
                <w:szCs w:val="32"/>
              </w:rPr>
              <w:t>项目名称</w:t>
            </w:r>
          </w:p>
        </w:tc>
        <w:tc>
          <w:tcPr>
            <w:tcW w:w="6794" w:type="dxa"/>
          </w:tcPr>
          <w:p>
            <w:pPr>
              <w:rPr>
                <w:rFonts w:ascii="仿宋_GB2312" w:eastAsia="仿宋_GB2312"/>
                <w:sz w:val="32"/>
                <w:szCs w:val="32"/>
              </w:rPr>
            </w:pPr>
            <w:r>
              <w:rPr>
                <w:rFonts w:hint="eastAsia" w:ascii="仿宋_GB2312" w:eastAsia="仿宋_GB2312"/>
                <w:sz w:val="32"/>
                <w:szCs w:val="32"/>
              </w:rPr>
              <w:t>驱鸟设备采购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rPr>
                <w:rFonts w:ascii="仿宋_GB2312" w:eastAsia="仿宋_GB2312"/>
                <w:sz w:val="32"/>
                <w:szCs w:val="32"/>
              </w:rPr>
            </w:pPr>
            <w:r>
              <w:rPr>
                <w:rFonts w:hint="eastAsia" w:ascii="仿宋_GB2312" w:eastAsia="仿宋_GB2312"/>
                <w:sz w:val="32"/>
                <w:szCs w:val="32"/>
              </w:rPr>
              <w:t>项目地点</w:t>
            </w:r>
          </w:p>
        </w:tc>
        <w:tc>
          <w:tcPr>
            <w:tcW w:w="6794" w:type="dxa"/>
          </w:tcPr>
          <w:p>
            <w:pPr>
              <w:rPr>
                <w:rFonts w:ascii="仿宋_GB2312" w:eastAsia="仿宋_GB2312"/>
                <w:sz w:val="32"/>
                <w:szCs w:val="32"/>
              </w:rPr>
            </w:pPr>
            <w:r>
              <w:rPr>
                <w:rFonts w:hint="eastAsia" w:ascii="仿宋_GB2312" w:eastAsia="仿宋_GB2312"/>
                <w:sz w:val="32"/>
                <w:szCs w:val="32"/>
              </w:rPr>
              <w:t>绵阳南郊机场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rPr>
                <w:rFonts w:ascii="仿宋_GB2312" w:eastAsia="仿宋_GB2312"/>
                <w:sz w:val="32"/>
                <w:szCs w:val="32"/>
              </w:rPr>
            </w:pPr>
            <w:r>
              <w:rPr>
                <w:rFonts w:hint="eastAsia" w:ascii="仿宋_GB2312" w:eastAsia="仿宋_GB2312"/>
                <w:sz w:val="32"/>
                <w:szCs w:val="32"/>
              </w:rPr>
              <w:t>实施时间</w:t>
            </w:r>
          </w:p>
        </w:tc>
        <w:tc>
          <w:tcPr>
            <w:tcW w:w="6794" w:type="dxa"/>
          </w:tcPr>
          <w:p>
            <w:pPr>
              <w:rPr>
                <w:rFonts w:ascii="仿宋_GB2312" w:eastAsia="仿宋_GB2312"/>
                <w:sz w:val="32"/>
                <w:szCs w:val="32"/>
              </w:rPr>
            </w:pPr>
            <w:r>
              <w:rPr>
                <w:rFonts w:hint="eastAsia" w:ascii="仿宋_GB2312" w:eastAsia="仿宋_GB2312"/>
                <w:sz w:val="32"/>
                <w:szCs w:val="32"/>
              </w:rPr>
              <w:t>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rPr>
                <w:rFonts w:ascii="仿宋_GB2312" w:eastAsia="仿宋_GB2312"/>
                <w:sz w:val="32"/>
                <w:szCs w:val="32"/>
              </w:rPr>
            </w:pPr>
            <w:r>
              <w:rPr>
                <w:rFonts w:hint="eastAsia" w:ascii="仿宋_GB2312" w:eastAsia="仿宋_GB2312"/>
                <w:sz w:val="32"/>
                <w:szCs w:val="32"/>
              </w:rPr>
              <w:t>工程概述</w:t>
            </w:r>
          </w:p>
        </w:tc>
        <w:tc>
          <w:tcPr>
            <w:tcW w:w="6794" w:type="dxa"/>
          </w:tcPr>
          <w:p>
            <w:pPr>
              <w:rPr>
                <w:rFonts w:ascii="仿宋_GB2312" w:eastAsia="仿宋_GB2312"/>
                <w:sz w:val="32"/>
                <w:szCs w:val="32"/>
              </w:rPr>
            </w:pPr>
            <w:r>
              <w:rPr>
                <w:rFonts w:hint="eastAsia" w:ascii="仿宋_GB2312" w:eastAsia="仿宋_GB2312"/>
                <w:sz w:val="32"/>
                <w:szCs w:val="32"/>
              </w:rPr>
              <w:t>采购4门煤气炮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rPr>
                <w:rFonts w:ascii="仿宋_GB2312" w:eastAsia="仿宋_GB2312"/>
                <w:sz w:val="32"/>
                <w:szCs w:val="32"/>
              </w:rPr>
            </w:pPr>
            <w:r>
              <w:rPr>
                <w:rFonts w:hint="eastAsia" w:ascii="仿宋_GB2312" w:eastAsia="仿宋_GB2312"/>
                <w:sz w:val="32"/>
                <w:szCs w:val="32"/>
              </w:rPr>
              <w:t>建设资金</w:t>
            </w:r>
          </w:p>
        </w:tc>
        <w:tc>
          <w:tcPr>
            <w:tcW w:w="6794" w:type="dxa"/>
          </w:tcPr>
          <w:p>
            <w:pPr>
              <w:rPr>
                <w:rFonts w:ascii="仿宋_GB2312" w:eastAsia="仿宋_GB2312"/>
                <w:sz w:val="32"/>
                <w:szCs w:val="32"/>
              </w:rPr>
            </w:pPr>
            <w:r>
              <w:rPr>
                <w:rFonts w:hint="eastAsia" w:ascii="仿宋_GB2312" w:eastAsia="仿宋_GB2312"/>
                <w:sz w:val="32"/>
                <w:szCs w:val="32"/>
              </w:rPr>
              <w:t>采购资金预算为9.2万元内（超出视为无效报价）</w:t>
            </w:r>
          </w:p>
        </w:tc>
      </w:tr>
    </w:tbl>
    <w:p>
      <w:pPr>
        <w:ind w:firstLine="480" w:firstLineChars="150"/>
        <w:rPr>
          <w:rFonts w:ascii="仿宋_GB2312" w:eastAsia="仿宋_GB2312"/>
          <w:sz w:val="32"/>
          <w:szCs w:val="32"/>
        </w:rPr>
      </w:pPr>
      <w:r>
        <w:rPr>
          <w:rFonts w:hint="eastAsia" w:ascii="仿宋_GB2312" w:eastAsia="仿宋_GB2312"/>
          <w:sz w:val="32"/>
          <w:szCs w:val="32"/>
        </w:rPr>
        <w:t>三、竞争性磋商内容：驱鸟设备采购。</w:t>
      </w:r>
    </w:p>
    <w:p>
      <w:pPr>
        <w:ind w:firstLine="480" w:firstLineChars="150"/>
        <w:rPr>
          <w:rFonts w:ascii="仿宋_GB2312" w:eastAsia="仿宋_GB2312"/>
          <w:sz w:val="32"/>
          <w:szCs w:val="32"/>
        </w:rPr>
      </w:pPr>
      <w:r>
        <w:rPr>
          <w:rFonts w:hint="eastAsia" w:ascii="仿宋_GB2312" w:eastAsia="仿宋_GB2312"/>
          <w:sz w:val="32"/>
          <w:szCs w:val="32"/>
        </w:rPr>
        <w:t>四、凡符合报名资格的竞争性磋商企业须在领取竞争性磋商书后，向机场（集团）公司缴纳2000.00元保证金。</w:t>
      </w:r>
    </w:p>
    <w:p>
      <w:pPr>
        <w:ind w:firstLine="480" w:firstLineChars="150"/>
        <w:rPr>
          <w:rFonts w:ascii="仿宋_GB2312" w:eastAsia="仿宋_GB2312"/>
          <w:sz w:val="32"/>
          <w:szCs w:val="32"/>
        </w:rPr>
      </w:pPr>
      <w:r>
        <w:rPr>
          <w:rFonts w:hint="eastAsia" w:ascii="仿宋_GB2312" w:eastAsia="仿宋_GB2312"/>
          <w:sz w:val="32"/>
          <w:szCs w:val="32"/>
        </w:rPr>
        <w:t>五、资格要求：</w:t>
      </w:r>
    </w:p>
    <w:p>
      <w:pPr>
        <w:wordWrap w:val="0"/>
        <w:spacing w:line="360" w:lineRule="auto"/>
        <w:ind w:firstLine="480" w:firstLineChars="150"/>
        <w:rPr>
          <w:rFonts w:ascii="仿宋_GB2312" w:hAnsi="ˎ̥" w:eastAsia="仿宋_GB2312"/>
          <w:kern w:val="0"/>
          <w:sz w:val="32"/>
          <w:szCs w:val="32"/>
        </w:rPr>
      </w:pPr>
      <w:r>
        <w:rPr>
          <w:rFonts w:hint="eastAsia" w:ascii="仿宋_GB2312" w:hAnsi="ˎ̥" w:eastAsia="仿宋_GB2312"/>
          <w:kern w:val="0"/>
          <w:sz w:val="32"/>
          <w:szCs w:val="32"/>
        </w:rPr>
        <w:t>1、报名企业必须具有独立法人资格，具备中华人民共和国组织机构代码、企业法人营业执照 、工商税务登记证明、法人身份证及授权书等相关证件。</w:t>
      </w:r>
    </w:p>
    <w:p>
      <w:pPr>
        <w:ind w:firstLine="480" w:firstLineChars="150"/>
        <w:rPr>
          <w:rFonts w:ascii="仿宋_GB2312" w:hAnsi="宋体" w:eastAsia="仿宋_GB2312"/>
          <w:color w:val="000000"/>
          <w:sz w:val="32"/>
          <w:szCs w:val="32"/>
        </w:rPr>
      </w:pPr>
      <w:r>
        <w:rPr>
          <w:rFonts w:hint="eastAsia" w:ascii="仿宋_GB2312" w:hAnsi="宋体" w:eastAsia="仿宋_GB2312"/>
          <w:color w:val="000000"/>
          <w:sz w:val="32"/>
          <w:szCs w:val="32"/>
        </w:rPr>
        <w:t>2、非生产制造商或非产品代理机构的竞争性磋商人，需提供生产制造商或产品代理机构正式授权证书，产品代理机构的竞争性磋商人需提供产品代理合同。</w:t>
      </w:r>
    </w:p>
    <w:p>
      <w:pPr>
        <w:ind w:firstLine="480" w:firstLineChars="150"/>
        <w:rPr>
          <w:rFonts w:ascii="仿宋_GB2312" w:eastAsia="仿宋_GB2312"/>
          <w:sz w:val="32"/>
          <w:szCs w:val="32"/>
        </w:rPr>
      </w:pPr>
      <w:r>
        <w:rPr>
          <w:rFonts w:hint="eastAsia" w:ascii="仿宋_GB2312" w:eastAsia="仿宋_GB2312"/>
          <w:sz w:val="32"/>
          <w:szCs w:val="32"/>
        </w:rPr>
        <w:t>六、报名：</w:t>
      </w:r>
    </w:p>
    <w:p>
      <w:pPr>
        <w:ind w:firstLine="480" w:firstLineChars="150"/>
        <w:rPr>
          <w:rFonts w:ascii="仿宋_GB2312" w:eastAsia="仿宋_GB2312"/>
          <w:sz w:val="32"/>
          <w:szCs w:val="32"/>
        </w:rPr>
      </w:pPr>
      <w:r>
        <w:rPr>
          <w:rFonts w:hint="eastAsia" w:ascii="仿宋_GB2312" w:eastAsia="仿宋_GB2312"/>
          <w:sz w:val="32"/>
          <w:szCs w:val="32"/>
        </w:rPr>
        <w:t>1、请有意参加本项目竞争性磋商的申请人，到机场设备动力部领取竞争性磋商文件；</w:t>
      </w:r>
    </w:p>
    <w:p>
      <w:pPr>
        <w:ind w:firstLine="480" w:firstLineChars="150"/>
        <w:rPr>
          <w:rFonts w:ascii="仿宋_GB2312" w:eastAsia="仿宋_GB2312"/>
          <w:sz w:val="32"/>
          <w:szCs w:val="32"/>
        </w:rPr>
      </w:pPr>
      <w:r>
        <w:rPr>
          <w:rFonts w:hint="eastAsia" w:ascii="仿宋_GB2312" w:eastAsia="仿宋_GB2312"/>
          <w:sz w:val="32"/>
          <w:szCs w:val="32"/>
        </w:rPr>
        <w:t>2、竞争性磋商申请人报名时间：</w:t>
      </w:r>
      <w:r>
        <w:rPr>
          <w:rFonts w:hint="eastAsia" w:ascii="仿宋_GB2312" w:eastAsia="仿宋_GB2312"/>
          <w:color w:val="000000" w:themeColor="text1"/>
          <w:sz w:val="32"/>
          <w:szCs w:val="32"/>
        </w:rPr>
        <w:t>从2020年3月17日起，至2020年3月20日17时截止</w:t>
      </w:r>
      <w:r>
        <w:rPr>
          <w:rFonts w:hint="eastAsia" w:ascii="仿宋_GB2312" w:eastAsia="仿宋_GB2312"/>
          <w:sz w:val="32"/>
          <w:szCs w:val="32"/>
        </w:rPr>
        <w:t>；</w:t>
      </w:r>
    </w:p>
    <w:p>
      <w:pPr>
        <w:wordWrap w:val="0"/>
        <w:spacing w:line="360" w:lineRule="auto"/>
        <w:ind w:firstLine="480" w:firstLineChars="150"/>
        <w:rPr>
          <w:rFonts w:ascii="仿宋_GB2312" w:hAnsi="ˎ̥" w:eastAsia="仿宋_GB2312"/>
          <w:kern w:val="0"/>
          <w:sz w:val="32"/>
          <w:szCs w:val="32"/>
        </w:rPr>
      </w:pPr>
      <w:r>
        <w:rPr>
          <w:rFonts w:hint="eastAsia" w:ascii="仿宋_GB2312" w:eastAsia="仿宋_GB2312"/>
          <w:sz w:val="32"/>
          <w:szCs w:val="32"/>
        </w:rPr>
        <w:t>3、</w:t>
      </w:r>
      <w:r>
        <w:rPr>
          <w:rFonts w:hint="eastAsia" w:ascii="仿宋_GB2312" w:hAnsi="ˎ̥" w:eastAsia="仿宋_GB2312"/>
          <w:kern w:val="0"/>
          <w:sz w:val="32"/>
          <w:szCs w:val="32"/>
        </w:rPr>
        <w:t>领取邀请书时须持企业介绍信、有效企业法人营业执照和相应的资质文件复印件，委托代理人需要法定代表人委托书、委托代理人身份证复印件等。</w:t>
      </w:r>
    </w:p>
    <w:p>
      <w:pPr>
        <w:ind w:firstLine="480" w:firstLineChars="150"/>
        <w:rPr>
          <w:rFonts w:ascii="仿宋_GB2312" w:eastAsia="仿宋_GB2312"/>
          <w:sz w:val="32"/>
          <w:szCs w:val="32"/>
        </w:rPr>
      </w:pPr>
      <w:r>
        <w:rPr>
          <w:rFonts w:hint="eastAsia" w:ascii="仿宋_GB2312" w:eastAsia="仿宋_GB2312"/>
          <w:sz w:val="32"/>
          <w:szCs w:val="32"/>
        </w:rPr>
        <w:t>七、邀请参加竞争性磋商的申请人：</w:t>
      </w:r>
    </w:p>
    <w:p>
      <w:pPr>
        <w:ind w:firstLine="480" w:firstLineChars="150"/>
        <w:rPr>
          <w:rFonts w:ascii="仿宋_GB2312" w:eastAsia="仿宋_GB2312"/>
          <w:sz w:val="32"/>
          <w:szCs w:val="32"/>
        </w:rPr>
      </w:pPr>
      <w:r>
        <w:rPr>
          <w:rFonts w:hint="eastAsia" w:ascii="仿宋_GB2312" w:eastAsia="仿宋_GB2312"/>
          <w:sz w:val="32"/>
          <w:szCs w:val="32"/>
        </w:rPr>
        <w:t>凡符合竞争性磋商文件要求，领取竞争性磋商文件、通过资格预审合格人均视为被邀请参加竞争性磋商的申请人。</w:t>
      </w:r>
    </w:p>
    <w:p>
      <w:pPr>
        <w:ind w:firstLine="480" w:firstLineChars="150"/>
        <w:rPr>
          <w:rFonts w:ascii="仿宋_GB2312" w:eastAsia="仿宋_GB2312"/>
          <w:sz w:val="32"/>
          <w:szCs w:val="32"/>
        </w:rPr>
      </w:pPr>
      <w:r>
        <w:rPr>
          <w:rFonts w:hint="eastAsia" w:ascii="仿宋_GB2312" w:eastAsia="仿宋_GB2312"/>
          <w:sz w:val="32"/>
          <w:szCs w:val="32"/>
        </w:rPr>
        <w:t>八、联系方式：</w:t>
      </w:r>
    </w:p>
    <w:p>
      <w:pPr>
        <w:rPr>
          <w:rFonts w:ascii="仿宋_GB2312" w:eastAsia="仿宋_GB2312"/>
          <w:sz w:val="32"/>
          <w:szCs w:val="32"/>
        </w:rPr>
      </w:pPr>
      <w:r>
        <w:rPr>
          <w:rFonts w:hint="eastAsia" w:ascii="仿宋_GB2312" w:eastAsia="仿宋_GB2312"/>
          <w:sz w:val="32"/>
          <w:szCs w:val="32"/>
        </w:rPr>
        <w:t>招标人：绵阳机场（集团）有限公司</w:t>
      </w:r>
    </w:p>
    <w:p>
      <w:pPr>
        <w:rPr>
          <w:rFonts w:ascii="仿宋_GB2312" w:eastAsia="仿宋_GB2312"/>
          <w:sz w:val="32"/>
          <w:szCs w:val="32"/>
        </w:rPr>
      </w:pPr>
      <w:r>
        <w:rPr>
          <w:rFonts w:hint="eastAsia" w:ascii="仿宋_GB2312" w:eastAsia="仿宋_GB2312"/>
          <w:sz w:val="32"/>
          <w:szCs w:val="32"/>
        </w:rPr>
        <w:t>地址：绵阳市机场东路六号</w:t>
      </w:r>
    </w:p>
    <w:p>
      <w:pPr>
        <w:rPr>
          <w:rFonts w:ascii="仿宋_GB2312" w:eastAsia="仿宋_GB2312"/>
          <w:sz w:val="32"/>
          <w:szCs w:val="32"/>
        </w:rPr>
      </w:pPr>
      <w:r>
        <w:rPr>
          <w:rFonts w:hint="eastAsia" w:ascii="仿宋_GB2312" w:eastAsia="仿宋_GB2312"/>
          <w:sz w:val="32"/>
          <w:szCs w:val="32"/>
        </w:rPr>
        <w:t>联系人：秦智</w:t>
      </w:r>
    </w:p>
    <w:p>
      <w:pPr>
        <w:rPr>
          <w:rFonts w:ascii="仿宋_GB2312" w:eastAsia="仿宋_GB2312"/>
          <w:sz w:val="32"/>
          <w:szCs w:val="32"/>
        </w:rPr>
      </w:pPr>
      <w:r>
        <w:rPr>
          <w:rFonts w:hint="eastAsia" w:ascii="仿宋_GB2312" w:eastAsia="仿宋_GB2312"/>
          <w:sz w:val="32"/>
          <w:szCs w:val="32"/>
        </w:rPr>
        <w:t>联系电话：13909018510</w:t>
      </w:r>
    </w:p>
    <w:p/>
    <w:p/>
    <w:p/>
    <w:p/>
    <w:p>
      <w:pPr>
        <w:rPr>
          <w:rFonts w:ascii="仿宋" w:hAnsi="仿宋" w:eastAsia="仿宋" w:cs="仿宋"/>
          <w:bCs/>
          <w:sz w:val="36"/>
          <w:szCs w:val="36"/>
        </w:rPr>
      </w:pPr>
    </w:p>
    <w:p>
      <w:pPr>
        <w:rPr>
          <w:rFonts w:ascii="仿宋" w:hAnsi="仿宋" w:eastAsia="仿宋" w:cs="仿宋"/>
          <w:bCs/>
          <w:sz w:val="36"/>
          <w:szCs w:val="36"/>
        </w:rPr>
      </w:pPr>
    </w:p>
    <w:p>
      <w:pPr>
        <w:jc w:val="center"/>
        <w:rPr>
          <w:rFonts w:ascii="仿宋" w:hAnsi="仿宋" w:eastAsia="仿宋" w:cs="仿宋"/>
          <w:bCs/>
          <w:sz w:val="36"/>
          <w:szCs w:val="36"/>
        </w:rPr>
      </w:pPr>
    </w:p>
    <w:p>
      <w:pPr>
        <w:jc w:val="center"/>
        <w:rPr>
          <w:rFonts w:ascii="仿宋" w:hAnsi="仿宋" w:eastAsia="仿宋" w:cs="仿宋"/>
          <w:bCs/>
          <w:sz w:val="36"/>
          <w:szCs w:val="36"/>
        </w:rPr>
      </w:pPr>
      <w:r>
        <w:rPr>
          <w:rFonts w:hint="eastAsia" w:ascii="仿宋" w:hAnsi="仿宋" w:eastAsia="仿宋" w:cs="仿宋"/>
          <w:bCs/>
          <w:sz w:val="36"/>
          <w:szCs w:val="36"/>
        </w:rPr>
        <w:t>竞争性磋商邀请书</w:t>
      </w:r>
    </w:p>
    <w:p>
      <w:pPr>
        <w:jc w:val="center"/>
        <w:rPr>
          <w:rFonts w:ascii="仿宋" w:hAnsi="仿宋" w:eastAsia="仿宋" w:cs="仿宋"/>
          <w:b/>
          <w:sz w:val="36"/>
          <w:szCs w:val="36"/>
        </w:rPr>
      </w:pPr>
    </w:p>
    <w:p>
      <w:pPr>
        <w:wordWrap w:val="0"/>
        <w:spacing w:line="360" w:lineRule="auto"/>
        <w:ind w:firstLine="723" w:firstLineChars="200"/>
        <w:rPr>
          <w:rFonts w:ascii="仿宋" w:hAnsi="仿宋" w:eastAsia="仿宋" w:cs="仿宋"/>
          <w:sz w:val="36"/>
          <w:szCs w:val="36"/>
        </w:rPr>
      </w:pPr>
      <w:r>
        <w:rPr>
          <w:rFonts w:hint="eastAsia" w:ascii="仿宋" w:hAnsi="仿宋" w:eastAsia="仿宋" w:cs="仿宋"/>
          <w:b/>
          <w:sz w:val="36"/>
          <w:szCs w:val="36"/>
        </w:rPr>
        <w:t>————————————</w:t>
      </w:r>
    </w:p>
    <w:p>
      <w:pPr>
        <w:wordWrap w:val="0"/>
        <w:spacing w:line="360" w:lineRule="auto"/>
        <w:ind w:firstLine="640" w:firstLineChars="200"/>
        <w:rPr>
          <w:rFonts w:ascii="仿宋" w:hAnsi="仿宋" w:eastAsia="仿宋" w:cs="仿宋"/>
          <w:kern w:val="0"/>
          <w:sz w:val="32"/>
          <w:szCs w:val="32"/>
        </w:rPr>
      </w:pPr>
      <w:r>
        <w:rPr>
          <w:rFonts w:hint="eastAsia" w:ascii="仿宋" w:hAnsi="仿宋" w:eastAsia="仿宋" w:cs="仿宋"/>
          <w:sz w:val="32"/>
          <w:szCs w:val="32"/>
        </w:rPr>
        <w:t>绵阳机场（集团）有限公司拟对驱鸟设备采购项目进行竞争性磋商,诚邀请</w:t>
      </w:r>
      <w:r>
        <w:rPr>
          <w:rFonts w:hint="eastAsia" w:ascii="仿宋" w:hAnsi="仿宋" w:eastAsia="仿宋" w:cs="仿宋"/>
          <w:kern w:val="0"/>
          <w:sz w:val="32"/>
          <w:szCs w:val="32"/>
        </w:rPr>
        <w:t>有能力的合格单位参加本项目。有关事项通知如下：</w:t>
      </w:r>
    </w:p>
    <w:p>
      <w:pPr>
        <w:wordWrap w:val="0"/>
        <w:spacing w:line="360" w:lineRule="auto"/>
        <w:rPr>
          <w:rFonts w:ascii="仿宋" w:hAnsi="仿宋" w:eastAsia="仿宋" w:cs="仿宋"/>
          <w:kern w:val="0"/>
          <w:sz w:val="32"/>
          <w:szCs w:val="32"/>
        </w:rPr>
      </w:pPr>
      <w:r>
        <w:rPr>
          <w:rFonts w:hint="eastAsia" w:ascii="仿宋" w:hAnsi="仿宋" w:eastAsia="仿宋" w:cs="仿宋"/>
          <w:kern w:val="0"/>
          <w:sz w:val="32"/>
          <w:szCs w:val="32"/>
        </w:rPr>
        <w:t xml:space="preserve">  1、竞争性磋商内容和主要技术规格：见附页。</w:t>
      </w:r>
    </w:p>
    <w:p>
      <w:pPr>
        <w:wordWrap w:val="0"/>
        <w:spacing w:line="360" w:lineRule="auto"/>
        <w:rPr>
          <w:rFonts w:ascii="仿宋" w:hAnsi="仿宋" w:eastAsia="仿宋" w:cs="仿宋"/>
          <w:kern w:val="0"/>
          <w:sz w:val="32"/>
          <w:szCs w:val="32"/>
        </w:rPr>
      </w:pPr>
      <w:r>
        <w:rPr>
          <w:rFonts w:hint="eastAsia" w:ascii="仿宋" w:hAnsi="仿宋" w:eastAsia="仿宋" w:cs="仿宋"/>
          <w:kern w:val="0"/>
          <w:sz w:val="32"/>
          <w:szCs w:val="32"/>
        </w:rPr>
        <w:t xml:space="preserve">  2、技术文件从 </w:t>
      </w:r>
      <w:r>
        <w:rPr>
          <w:rFonts w:hint="eastAsia" w:ascii="仿宋" w:hAnsi="仿宋" w:eastAsia="仿宋" w:cs="仿宋"/>
          <w:color w:val="000000" w:themeColor="text1"/>
          <w:kern w:val="0"/>
          <w:sz w:val="32"/>
          <w:szCs w:val="32"/>
        </w:rPr>
        <w:t>2020年3月17日—2020年3月20日</w:t>
      </w:r>
      <w:r>
        <w:rPr>
          <w:rFonts w:hint="eastAsia" w:ascii="仿宋" w:hAnsi="仿宋" w:eastAsia="仿宋" w:cs="仿宋"/>
          <w:kern w:val="0"/>
          <w:sz w:val="32"/>
          <w:szCs w:val="32"/>
        </w:rPr>
        <w:t>在绵阳机场设备动力部发放。请贵公司到绵阳机场设备动力部获取技术文件。领取邀请书时须持企业介绍信、有效企业法人营业执照和相应的资质文件复印件，委托代理人需要法定代表人委托书、委托代理人身份证复印件、保证金收据等。</w:t>
      </w:r>
    </w:p>
    <w:p>
      <w:pPr>
        <w:wordWrap w:val="0"/>
        <w:spacing w:line="360" w:lineRule="auto"/>
        <w:ind w:firstLine="320" w:firstLineChars="100"/>
        <w:rPr>
          <w:rFonts w:ascii="仿宋" w:hAnsi="仿宋" w:eastAsia="仿宋" w:cs="仿宋"/>
          <w:kern w:val="0"/>
          <w:sz w:val="32"/>
          <w:szCs w:val="32"/>
        </w:rPr>
      </w:pPr>
      <w:r>
        <w:rPr>
          <w:rFonts w:hint="eastAsia" w:ascii="仿宋" w:hAnsi="仿宋" w:eastAsia="仿宋" w:cs="仿宋"/>
          <w:kern w:val="0"/>
          <w:sz w:val="32"/>
          <w:szCs w:val="32"/>
        </w:rPr>
        <w:t>3、此次评比综合评分最高企业中选。</w:t>
      </w:r>
    </w:p>
    <w:p>
      <w:pPr>
        <w:wordWrap w:val="0"/>
        <w:spacing w:line="360" w:lineRule="auto"/>
        <w:ind w:firstLine="320" w:firstLineChars="100"/>
        <w:rPr>
          <w:rFonts w:ascii="仿宋" w:hAnsi="仿宋" w:eastAsia="仿宋" w:cs="仿宋"/>
          <w:sz w:val="32"/>
          <w:szCs w:val="32"/>
        </w:rPr>
      </w:pPr>
      <w:r>
        <w:rPr>
          <w:rFonts w:hint="eastAsia" w:ascii="仿宋" w:hAnsi="仿宋" w:eastAsia="仿宋" w:cs="仿宋"/>
          <w:kern w:val="0"/>
          <w:sz w:val="32"/>
          <w:szCs w:val="32"/>
        </w:rPr>
        <w:t>4、本工程项目控制价</w:t>
      </w:r>
      <w:r>
        <w:rPr>
          <w:rFonts w:hint="eastAsia" w:ascii="仿宋" w:hAnsi="仿宋" w:eastAsia="仿宋" w:cs="仿宋"/>
          <w:sz w:val="32"/>
          <w:szCs w:val="32"/>
        </w:rPr>
        <w:t>工程资金预算为9.2万元内（超出视为无效报价)。</w:t>
      </w:r>
    </w:p>
    <w:p>
      <w:pPr>
        <w:wordWrap w:val="0"/>
        <w:spacing w:line="360" w:lineRule="auto"/>
        <w:ind w:firstLine="320" w:firstLineChars="100"/>
        <w:rPr>
          <w:rFonts w:ascii="仿宋" w:hAnsi="仿宋" w:eastAsia="仿宋" w:cs="仿宋"/>
          <w:kern w:val="0"/>
          <w:sz w:val="32"/>
          <w:szCs w:val="32"/>
        </w:rPr>
      </w:pPr>
      <w:r>
        <w:rPr>
          <w:rFonts w:hint="eastAsia" w:ascii="仿宋" w:hAnsi="仿宋" w:eastAsia="仿宋" w:cs="仿宋"/>
          <w:kern w:val="0"/>
          <w:sz w:val="32"/>
          <w:szCs w:val="32"/>
        </w:rPr>
        <w:t>5、</w:t>
      </w:r>
      <w:r>
        <w:rPr>
          <w:rFonts w:hint="eastAsia" w:ascii="仿宋" w:hAnsi="仿宋" w:eastAsia="仿宋" w:cs="仿宋"/>
          <w:sz w:val="32"/>
          <w:szCs w:val="32"/>
        </w:rPr>
        <w:t>凡符合报名资格的竞争性磋商企业须在领取竞争性磋商书前，向机场（集团）公司缴纳2000.00元保证金。</w:t>
      </w:r>
    </w:p>
    <w:p>
      <w:pPr>
        <w:wordWrap w:val="0"/>
        <w:spacing w:line="360" w:lineRule="auto"/>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递交竞争性磋商申请文件报送截止时间：2020年3月20日14时（北京时间），逾期不予受理。</w:t>
      </w:r>
    </w:p>
    <w:p>
      <w:pPr>
        <w:wordWrap w:val="0"/>
        <w:spacing w:line="360" w:lineRule="auto"/>
        <w:rPr>
          <w:rFonts w:ascii="仿宋" w:hAnsi="仿宋" w:eastAsia="仿宋" w:cs="仿宋"/>
          <w:kern w:val="0"/>
          <w:sz w:val="32"/>
          <w:szCs w:val="32"/>
        </w:rPr>
      </w:pPr>
      <w:r>
        <w:rPr>
          <w:rFonts w:hint="eastAsia" w:ascii="仿宋" w:hAnsi="仿宋" w:eastAsia="仿宋" w:cs="仿宋"/>
          <w:color w:val="000000" w:themeColor="text1"/>
          <w:kern w:val="0"/>
          <w:sz w:val="32"/>
          <w:szCs w:val="32"/>
        </w:rPr>
        <w:t>竞争性磋商时间：2020年3月20日14:00。</w:t>
      </w:r>
    </w:p>
    <w:p>
      <w:pPr>
        <w:wordWrap w:val="0"/>
        <w:spacing w:line="360" w:lineRule="auto"/>
        <w:rPr>
          <w:rFonts w:ascii="仿宋" w:hAnsi="仿宋" w:eastAsia="仿宋" w:cs="仿宋"/>
          <w:kern w:val="0"/>
          <w:sz w:val="32"/>
          <w:szCs w:val="32"/>
        </w:rPr>
      </w:pPr>
      <w:r>
        <w:rPr>
          <w:rFonts w:hint="eastAsia" w:ascii="仿宋" w:hAnsi="仿宋" w:eastAsia="仿宋" w:cs="仿宋"/>
          <w:color w:val="000000" w:themeColor="text1"/>
          <w:kern w:val="0"/>
          <w:sz w:val="32"/>
          <w:szCs w:val="32"/>
        </w:rPr>
        <w:t>竞争性磋商</w:t>
      </w:r>
      <w:r>
        <w:rPr>
          <w:rFonts w:hint="eastAsia" w:ascii="仿宋" w:hAnsi="仿宋" w:eastAsia="仿宋" w:cs="仿宋"/>
          <w:kern w:val="0"/>
          <w:sz w:val="32"/>
          <w:szCs w:val="32"/>
        </w:rPr>
        <w:t>地点：绵阳南郊机场二楼会议室。</w:t>
      </w:r>
    </w:p>
    <w:p>
      <w:pPr>
        <w:wordWrap w:val="0"/>
        <w:spacing w:line="360" w:lineRule="auto"/>
        <w:rPr>
          <w:rFonts w:ascii="仿宋" w:hAnsi="仿宋" w:eastAsia="仿宋" w:cs="仿宋"/>
          <w:kern w:val="0"/>
          <w:sz w:val="32"/>
          <w:szCs w:val="32"/>
        </w:rPr>
      </w:pPr>
      <w:r>
        <w:rPr>
          <w:rFonts w:hint="eastAsia" w:ascii="仿宋" w:hAnsi="仿宋" w:eastAsia="仿宋" w:cs="仿宋"/>
          <w:kern w:val="0"/>
          <w:sz w:val="32"/>
          <w:szCs w:val="32"/>
        </w:rPr>
        <w:t>通讯地址：绵阳南郊机场设备动力部。</w:t>
      </w:r>
    </w:p>
    <w:p>
      <w:pPr>
        <w:wordWrap w:val="0"/>
        <w:spacing w:line="360" w:lineRule="auto"/>
        <w:rPr>
          <w:rFonts w:ascii="仿宋" w:hAnsi="仿宋" w:eastAsia="仿宋" w:cs="仿宋"/>
          <w:kern w:val="0"/>
          <w:sz w:val="32"/>
          <w:szCs w:val="32"/>
        </w:rPr>
      </w:pPr>
      <w:r>
        <w:rPr>
          <w:rFonts w:hint="eastAsia" w:ascii="仿宋" w:hAnsi="仿宋" w:eastAsia="仿宋" w:cs="仿宋"/>
          <w:kern w:val="0"/>
          <w:sz w:val="32"/>
          <w:szCs w:val="32"/>
        </w:rPr>
        <w:t>邮政编码：621000</w:t>
      </w:r>
    </w:p>
    <w:p>
      <w:pPr>
        <w:widowControl/>
        <w:wordWrap w:val="0"/>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联系电话：</w:t>
      </w:r>
      <w:r>
        <w:rPr>
          <w:rFonts w:hint="eastAsia" w:ascii="仿宋_GB2312" w:eastAsia="仿宋_GB2312"/>
          <w:sz w:val="32"/>
          <w:szCs w:val="32"/>
        </w:rPr>
        <w:t>13909018510</w:t>
      </w:r>
    </w:p>
    <w:p>
      <w:pPr>
        <w:widowControl/>
        <w:wordWrap w:val="0"/>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传真：0816-6357012</w:t>
      </w:r>
    </w:p>
    <w:p>
      <w:pPr>
        <w:widowControl/>
        <w:wordWrap w:val="0"/>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联系人：</w:t>
      </w:r>
      <w:r>
        <w:rPr>
          <w:rFonts w:hint="eastAsia" w:ascii="仿宋_GB2312" w:eastAsia="仿宋_GB2312"/>
          <w:sz w:val="32"/>
          <w:szCs w:val="32"/>
        </w:rPr>
        <w:t>秦智</w:t>
      </w:r>
      <w:r>
        <w:rPr>
          <w:rFonts w:hint="eastAsia" w:ascii="仿宋" w:hAnsi="仿宋" w:eastAsia="仿宋" w:cs="仿宋"/>
          <w:kern w:val="0"/>
          <w:sz w:val="32"/>
          <w:szCs w:val="32"/>
        </w:rPr>
        <w:t xml:space="preserve">                         </w:t>
      </w:r>
    </w:p>
    <w:p>
      <w:pPr>
        <w:widowControl/>
        <w:wordWrap w:val="0"/>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                                  </w:t>
      </w:r>
    </w:p>
    <w:p>
      <w:pPr>
        <w:widowControl/>
        <w:wordWrap w:val="0"/>
        <w:spacing w:line="360" w:lineRule="auto"/>
        <w:jc w:val="left"/>
        <w:rPr>
          <w:rFonts w:ascii="仿宋_GB2312" w:hAnsi="ˎ̥" w:eastAsia="仿宋_GB2312"/>
          <w:kern w:val="0"/>
          <w:sz w:val="36"/>
          <w:szCs w:val="36"/>
        </w:rPr>
      </w:pPr>
      <w:r>
        <w:rPr>
          <w:rFonts w:hint="eastAsia" w:ascii="仿宋" w:hAnsi="仿宋" w:eastAsia="仿宋" w:cs="仿宋"/>
          <w:kern w:val="0"/>
          <w:sz w:val="32"/>
          <w:szCs w:val="32"/>
        </w:rPr>
        <w:t xml:space="preserve">                            绵阳机场（集团）有限公司                                 2020年3月12日</w:t>
      </w:r>
    </w:p>
    <w:p/>
    <w:p/>
    <w:p/>
    <w:p/>
    <w:p/>
    <w:p/>
    <w:p/>
    <w:p/>
    <w:p/>
    <w:p/>
    <w:p/>
    <w:p/>
    <w:p/>
    <w:p/>
    <w:p/>
    <w:p/>
    <w:p/>
    <w:p/>
    <w:p/>
    <w:p/>
    <w:p/>
    <w:p/>
    <w:p>
      <w:pPr>
        <w:rPr>
          <w:rFonts w:ascii="仿宋_GB2312" w:eastAsia="仿宋_GB2312"/>
          <w:bCs/>
          <w:sz w:val="36"/>
          <w:szCs w:val="36"/>
        </w:rPr>
      </w:pPr>
    </w:p>
    <w:p>
      <w:pPr>
        <w:rPr>
          <w:rFonts w:ascii="仿宋_GB2312" w:eastAsia="仿宋_GB2312"/>
          <w:bCs/>
          <w:sz w:val="36"/>
          <w:szCs w:val="36"/>
        </w:rPr>
      </w:pPr>
    </w:p>
    <w:p>
      <w:pPr>
        <w:rPr>
          <w:rFonts w:ascii="仿宋_GB2312" w:eastAsia="仿宋_GB2312"/>
          <w:bCs/>
          <w:sz w:val="36"/>
          <w:szCs w:val="36"/>
        </w:rPr>
      </w:pPr>
    </w:p>
    <w:p>
      <w:pPr>
        <w:jc w:val="center"/>
        <w:rPr>
          <w:rFonts w:ascii="仿宋_GB2312" w:eastAsia="仿宋_GB2312"/>
          <w:bCs/>
          <w:sz w:val="36"/>
          <w:szCs w:val="36"/>
        </w:rPr>
      </w:pPr>
    </w:p>
    <w:p>
      <w:pPr>
        <w:jc w:val="center"/>
        <w:rPr>
          <w:rFonts w:hint="eastAsia" w:ascii="仿宋_GB2312" w:eastAsia="仿宋_GB2312"/>
          <w:bCs/>
          <w:sz w:val="36"/>
          <w:szCs w:val="36"/>
        </w:rPr>
      </w:pPr>
      <w:r>
        <w:rPr>
          <w:rFonts w:hint="eastAsia" w:ascii="仿宋_GB2312" w:eastAsia="仿宋_GB2312"/>
          <w:bCs/>
          <w:sz w:val="36"/>
          <w:szCs w:val="36"/>
        </w:rPr>
        <w:t>绵阳机场（集团）有限公司驱鸟设备采购项目</w:t>
      </w:r>
    </w:p>
    <w:p>
      <w:pPr>
        <w:jc w:val="center"/>
        <w:rPr>
          <w:rFonts w:ascii="仿宋_GB2312" w:eastAsia="仿宋_GB2312"/>
          <w:b/>
          <w:sz w:val="36"/>
          <w:szCs w:val="36"/>
        </w:rPr>
      </w:pPr>
      <w:r>
        <w:rPr>
          <w:rFonts w:hint="eastAsia" w:ascii="仿宋_GB2312" w:eastAsia="仿宋_GB2312"/>
          <w:bCs/>
          <w:sz w:val="36"/>
          <w:szCs w:val="36"/>
        </w:rPr>
        <w:t>竞争性磋商文件</w:t>
      </w:r>
    </w:p>
    <w:p>
      <w:pPr>
        <w:rPr>
          <w:rFonts w:ascii="仿宋_GB2312" w:eastAsia="仿宋_GB2312"/>
          <w:b/>
          <w:sz w:val="32"/>
          <w:szCs w:val="32"/>
        </w:rPr>
      </w:pPr>
      <w:r>
        <w:rPr>
          <w:rFonts w:hint="eastAsia" w:ascii="仿宋_GB2312" w:eastAsia="仿宋_GB2312"/>
          <w:b/>
          <w:sz w:val="32"/>
          <w:szCs w:val="32"/>
        </w:rPr>
        <w:t>1、总则</w:t>
      </w:r>
    </w:p>
    <w:p>
      <w:pPr>
        <w:rPr>
          <w:rFonts w:ascii="仿宋_GB2312" w:eastAsia="仿宋_GB2312"/>
          <w:b/>
          <w:sz w:val="32"/>
          <w:szCs w:val="32"/>
        </w:rPr>
      </w:pPr>
      <w:r>
        <w:rPr>
          <w:rFonts w:hint="eastAsia" w:ascii="仿宋_GB2312" w:eastAsia="仿宋_GB2312"/>
          <w:b/>
          <w:sz w:val="32"/>
          <w:szCs w:val="32"/>
        </w:rPr>
        <w:t>1.1   一般规定</w:t>
      </w:r>
    </w:p>
    <w:p>
      <w:pPr>
        <w:rPr>
          <w:rFonts w:ascii="仿宋_GB2312" w:eastAsia="仿宋_GB2312"/>
          <w:sz w:val="32"/>
          <w:szCs w:val="32"/>
        </w:rPr>
      </w:pPr>
      <w:r>
        <w:rPr>
          <w:rFonts w:hint="eastAsia" w:ascii="仿宋_GB2312" w:eastAsia="仿宋_GB2312"/>
          <w:sz w:val="32"/>
          <w:szCs w:val="32"/>
        </w:rPr>
        <w:t xml:space="preserve">1.1.1  </w:t>
      </w:r>
      <w:r>
        <w:rPr>
          <w:rFonts w:hint="eastAsia" w:ascii="仿宋_GB2312" w:hAnsi="宋体" w:eastAsia="仿宋_GB2312"/>
          <w:sz w:val="32"/>
          <w:szCs w:val="32"/>
        </w:rPr>
        <w:t>投标单位</w:t>
      </w:r>
      <w:r>
        <w:rPr>
          <w:rFonts w:hint="eastAsia" w:ascii="仿宋_GB2312" w:eastAsia="仿宋_GB2312"/>
          <w:sz w:val="32"/>
          <w:szCs w:val="32"/>
        </w:rPr>
        <w:t>应具备公告要求的资质。</w:t>
      </w:r>
    </w:p>
    <w:p>
      <w:pPr>
        <w:rPr>
          <w:rFonts w:ascii="仿宋_GB2312" w:eastAsia="仿宋_GB2312"/>
          <w:sz w:val="32"/>
          <w:szCs w:val="32"/>
        </w:rPr>
      </w:pPr>
      <w:r>
        <w:rPr>
          <w:rFonts w:hint="eastAsia" w:ascii="仿宋_GB2312" w:eastAsia="仿宋_GB2312"/>
          <w:sz w:val="32"/>
          <w:szCs w:val="32"/>
        </w:rPr>
        <w:t xml:space="preserve">1.1.2  </w:t>
      </w:r>
      <w:r>
        <w:rPr>
          <w:rFonts w:hint="eastAsia" w:ascii="仿宋_GB2312" w:hAnsi="宋体" w:eastAsia="仿宋_GB2312"/>
          <w:sz w:val="32"/>
          <w:szCs w:val="32"/>
        </w:rPr>
        <w:t>投标单位</w:t>
      </w:r>
      <w:r>
        <w:rPr>
          <w:rFonts w:hint="eastAsia" w:ascii="仿宋_GB2312" w:eastAsia="仿宋_GB2312"/>
          <w:sz w:val="32"/>
          <w:szCs w:val="32"/>
        </w:rPr>
        <w:t>应仔细阅读本技术规范阐述的全部条款，提供的驱鸟设备应符合技术规范所规定的要求。</w:t>
      </w:r>
    </w:p>
    <w:p>
      <w:pPr>
        <w:rPr>
          <w:rFonts w:ascii="仿宋_GB2312" w:eastAsia="仿宋_GB2312"/>
          <w:sz w:val="32"/>
          <w:szCs w:val="32"/>
        </w:rPr>
      </w:pPr>
      <w:r>
        <w:rPr>
          <w:rFonts w:hint="eastAsia" w:ascii="仿宋_GB2312" w:eastAsia="仿宋_GB2312"/>
          <w:sz w:val="32"/>
          <w:szCs w:val="32"/>
        </w:rPr>
        <w:t>1.1.3  本技术规范提出了对驱鸟设备的技术要求，同时内容还包括</w:t>
      </w:r>
      <w:r>
        <w:rPr>
          <w:rFonts w:hint="eastAsia" w:ascii="仿宋_GB2312" w:hAnsi="宋体" w:eastAsia="仿宋_GB2312"/>
          <w:sz w:val="32"/>
          <w:szCs w:val="32"/>
        </w:rPr>
        <w:t>投标单位</w:t>
      </w:r>
      <w:r>
        <w:rPr>
          <w:rFonts w:hint="eastAsia" w:ascii="仿宋_GB2312" w:eastAsia="仿宋_GB2312"/>
          <w:sz w:val="32"/>
          <w:szCs w:val="32"/>
        </w:rPr>
        <w:t>必须提交的文件、培训、技术服务、试验、验收和其它要求。</w:t>
      </w:r>
    </w:p>
    <w:p>
      <w:pPr>
        <w:rPr>
          <w:rFonts w:ascii="仿宋_GB2312" w:eastAsia="仿宋_GB2312"/>
          <w:sz w:val="32"/>
          <w:szCs w:val="32"/>
        </w:rPr>
      </w:pPr>
      <w:r>
        <w:rPr>
          <w:rFonts w:hint="eastAsia" w:ascii="仿宋_GB2312" w:eastAsia="仿宋_GB2312"/>
          <w:sz w:val="32"/>
          <w:szCs w:val="32"/>
        </w:rPr>
        <w:t>1.1.4  本技术规范书提出的是最低限度的技术要求，并未对一切技术细节做出规定，也未充分引述有关标准和规范的条文，</w:t>
      </w:r>
      <w:r>
        <w:rPr>
          <w:rFonts w:hint="eastAsia" w:ascii="仿宋_GB2312" w:hAnsi="宋体" w:eastAsia="仿宋_GB2312"/>
          <w:sz w:val="32"/>
          <w:szCs w:val="32"/>
        </w:rPr>
        <w:t>投标单位</w:t>
      </w:r>
      <w:r>
        <w:rPr>
          <w:rFonts w:hint="eastAsia" w:ascii="仿宋_GB2312" w:eastAsia="仿宋_GB2312"/>
          <w:sz w:val="32"/>
          <w:szCs w:val="32"/>
        </w:rPr>
        <w:t>应提供符合本技术规范引用标准的最新版本标准和本技术规范书技术要求的全新产品。</w:t>
      </w:r>
    </w:p>
    <w:p>
      <w:pPr>
        <w:rPr>
          <w:rFonts w:ascii="仿宋_GB2312" w:eastAsia="仿宋_GB2312"/>
          <w:sz w:val="32"/>
          <w:szCs w:val="32"/>
        </w:rPr>
      </w:pPr>
      <w:r>
        <w:rPr>
          <w:rFonts w:hint="eastAsia" w:ascii="仿宋_GB2312" w:eastAsia="仿宋_GB2312"/>
          <w:sz w:val="32"/>
          <w:szCs w:val="32"/>
        </w:rPr>
        <w:t>1.1.5  本技术规范书将作为订货合同的附件，与合同具有同等的法律效力。本技术规范书未尽事宜，由合同签约双方在合同谈判时协商确定。</w:t>
      </w:r>
    </w:p>
    <w:p>
      <w:pPr>
        <w:rPr>
          <w:rFonts w:ascii="仿宋_GB2312" w:eastAsia="仿宋_GB2312"/>
          <w:sz w:val="32"/>
          <w:szCs w:val="32"/>
        </w:rPr>
      </w:pPr>
      <w:r>
        <w:rPr>
          <w:rFonts w:hint="eastAsia" w:ascii="仿宋_GB2312" w:eastAsia="仿宋_GB2312"/>
          <w:sz w:val="32"/>
          <w:szCs w:val="32"/>
        </w:rPr>
        <w:t xml:space="preserve">1.1.6  </w:t>
      </w:r>
      <w:r>
        <w:rPr>
          <w:rFonts w:hint="eastAsia" w:ascii="仿宋_GB2312" w:hAnsi="宋体" w:eastAsia="仿宋_GB2312"/>
          <w:sz w:val="32"/>
          <w:szCs w:val="32"/>
        </w:rPr>
        <w:t>投标单位</w:t>
      </w:r>
      <w:r>
        <w:rPr>
          <w:rFonts w:hint="eastAsia" w:ascii="仿宋_GB2312" w:eastAsia="仿宋_GB2312"/>
          <w:sz w:val="32"/>
          <w:szCs w:val="32"/>
        </w:rPr>
        <w:t xml:space="preserve">提供的驱鸟设备必须是技术上先进和成熟的，原材料和配件是全新的。  </w:t>
      </w:r>
    </w:p>
    <w:p>
      <w:pPr>
        <w:rPr>
          <w:rFonts w:ascii="仿宋_GB2312" w:eastAsia="仿宋_GB2312"/>
          <w:sz w:val="32"/>
          <w:szCs w:val="32"/>
        </w:rPr>
      </w:pPr>
      <w:r>
        <w:rPr>
          <w:rFonts w:hint="eastAsia" w:ascii="仿宋_GB2312" w:eastAsia="仿宋_GB2312"/>
          <w:sz w:val="32"/>
          <w:szCs w:val="32"/>
        </w:rPr>
        <w:t xml:space="preserve">1.1.7  </w:t>
      </w:r>
      <w:r>
        <w:rPr>
          <w:rFonts w:hint="eastAsia" w:ascii="仿宋_GB2312" w:hAnsi="宋体" w:eastAsia="仿宋_GB2312"/>
          <w:sz w:val="32"/>
          <w:szCs w:val="32"/>
        </w:rPr>
        <w:t>投标单位</w:t>
      </w:r>
      <w:r>
        <w:rPr>
          <w:rFonts w:hint="eastAsia" w:ascii="仿宋_GB2312" w:eastAsia="仿宋_GB2312"/>
          <w:sz w:val="32"/>
          <w:szCs w:val="32"/>
        </w:rPr>
        <w:t>应对技术规范书要求逐项应答。</w:t>
      </w:r>
    </w:p>
    <w:p>
      <w:pPr>
        <w:rPr>
          <w:rFonts w:ascii="仿宋_GB2312" w:eastAsia="仿宋_GB2312"/>
          <w:sz w:val="32"/>
          <w:szCs w:val="32"/>
        </w:rPr>
      </w:pPr>
      <w:r>
        <w:rPr>
          <w:rFonts w:hint="eastAsia" w:ascii="仿宋_GB2312" w:eastAsia="仿宋_GB2312"/>
          <w:sz w:val="32"/>
          <w:szCs w:val="32"/>
        </w:rPr>
        <w:t>1.1.8  竞争性磋商文件应制作规范严谨、目录齐全，正文及所有插图均统一编制页码。</w:t>
      </w:r>
    </w:p>
    <w:p>
      <w:pPr>
        <w:rPr>
          <w:rFonts w:ascii="仿宋_GB2312" w:hAnsi="宋体" w:eastAsia="仿宋_GB2312"/>
          <w:color w:val="000000"/>
          <w:sz w:val="32"/>
          <w:szCs w:val="32"/>
        </w:rPr>
      </w:pPr>
      <w:r>
        <w:rPr>
          <w:rFonts w:hint="eastAsia" w:ascii="仿宋_GB2312" w:hAnsi="宋体" w:eastAsia="仿宋_GB2312"/>
          <w:color w:val="000000"/>
          <w:sz w:val="32"/>
          <w:szCs w:val="32"/>
        </w:rPr>
        <w:t xml:space="preserve">1.1.9 </w:t>
      </w:r>
      <w:r>
        <w:rPr>
          <w:rFonts w:hint="eastAsia" w:ascii="仿宋_GB2312" w:hAnsi="宋体" w:eastAsia="仿宋_GB2312"/>
          <w:sz w:val="32"/>
          <w:szCs w:val="32"/>
        </w:rPr>
        <w:t>本项目不接受联合体投标</w:t>
      </w:r>
      <w:r>
        <w:rPr>
          <w:rFonts w:hint="eastAsia" w:ascii="仿宋_GB2312" w:hAnsi="宋体" w:eastAsia="仿宋_GB2312"/>
          <w:color w:val="000000"/>
          <w:sz w:val="32"/>
          <w:szCs w:val="32"/>
        </w:rPr>
        <w:t>。</w:t>
      </w:r>
    </w:p>
    <w:p>
      <w:pPr>
        <w:rPr>
          <w:rFonts w:ascii="仿宋_GB2312" w:eastAsia="仿宋_GB2312"/>
          <w:b/>
          <w:sz w:val="32"/>
          <w:szCs w:val="32"/>
        </w:rPr>
      </w:pPr>
      <w:r>
        <w:rPr>
          <w:rFonts w:hint="eastAsia" w:ascii="仿宋_GB2312" w:eastAsia="仿宋_GB2312"/>
          <w:b/>
          <w:sz w:val="32"/>
          <w:szCs w:val="32"/>
        </w:rPr>
        <w:t xml:space="preserve">1.2  </w:t>
      </w:r>
      <w:r>
        <w:rPr>
          <w:rFonts w:hint="eastAsia" w:ascii="仿宋_GB2312" w:hAnsi="宋体" w:eastAsia="仿宋_GB2312"/>
          <w:b/>
          <w:bCs/>
          <w:sz w:val="32"/>
          <w:szCs w:val="32"/>
        </w:rPr>
        <w:t>投标单位</w:t>
      </w:r>
      <w:r>
        <w:rPr>
          <w:rFonts w:hint="eastAsia" w:ascii="仿宋_GB2312" w:eastAsia="仿宋_GB2312"/>
          <w:b/>
          <w:sz w:val="32"/>
          <w:szCs w:val="32"/>
        </w:rPr>
        <w:t>具备的资格</w:t>
      </w:r>
    </w:p>
    <w:p>
      <w:pPr>
        <w:rPr>
          <w:rFonts w:ascii="仿宋_GB2312" w:hAnsi="宋体" w:eastAsia="仿宋_GB2312"/>
          <w:color w:val="000000"/>
          <w:sz w:val="32"/>
          <w:szCs w:val="32"/>
        </w:rPr>
      </w:pPr>
      <w:r>
        <w:rPr>
          <w:rFonts w:hint="eastAsia" w:ascii="仿宋_GB2312" w:eastAsia="仿宋_GB2312"/>
          <w:sz w:val="32"/>
          <w:szCs w:val="32"/>
        </w:rPr>
        <w:t xml:space="preserve">1.2.1 </w:t>
      </w:r>
      <w:r>
        <w:rPr>
          <w:rFonts w:hint="eastAsia" w:ascii="仿宋_GB2312" w:hAnsi="宋体" w:eastAsia="仿宋_GB2312"/>
          <w:sz w:val="32"/>
          <w:szCs w:val="32"/>
        </w:rPr>
        <w:t>投标单位</w:t>
      </w:r>
      <w:r>
        <w:rPr>
          <w:rFonts w:hint="eastAsia" w:ascii="仿宋_GB2312" w:hAnsi="宋体" w:eastAsia="仿宋_GB2312"/>
          <w:color w:val="000000"/>
          <w:sz w:val="32"/>
          <w:szCs w:val="32"/>
        </w:rPr>
        <w:t>须为中华人民共和国境内依法注册的企业法人且具有一般纳税人资格。</w:t>
      </w:r>
    </w:p>
    <w:p>
      <w:pPr>
        <w:rPr>
          <w:rFonts w:ascii="仿宋_GB2312" w:hAnsi="宋体" w:eastAsia="仿宋_GB2312"/>
          <w:color w:val="000000"/>
          <w:sz w:val="32"/>
          <w:szCs w:val="32"/>
        </w:rPr>
      </w:pPr>
      <w:r>
        <w:rPr>
          <w:rFonts w:hint="eastAsia" w:ascii="仿宋_GB2312" w:hAnsi="宋体" w:eastAsia="仿宋_GB2312"/>
          <w:color w:val="000000"/>
          <w:sz w:val="32"/>
          <w:szCs w:val="32"/>
        </w:rPr>
        <w:t>1.2.2 非生产制造商或非产品代理机构的</w:t>
      </w:r>
      <w:r>
        <w:rPr>
          <w:rFonts w:hint="eastAsia" w:ascii="仿宋_GB2312" w:hAnsi="宋体" w:eastAsia="仿宋_GB2312"/>
          <w:sz w:val="32"/>
          <w:szCs w:val="32"/>
        </w:rPr>
        <w:t>投标单位</w:t>
      </w:r>
      <w:r>
        <w:rPr>
          <w:rFonts w:hint="eastAsia" w:ascii="仿宋_GB2312" w:hAnsi="宋体" w:eastAsia="仿宋_GB2312"/>
          <w:color w:val="000000"/>
          <w:sz w:val="32"/>
          <w:szCs w:val="32"/>
        </w:rPr>
        <w:t>，需提供生产制造商或产品代理机构正式授权证书，产品代理机构的</w:t>
      </w:r>
      <w:r>
        <w:rPr>
          <w:rFonts w:hint="eastAsia" w:ascii="仿宋_GB2312" w:hAnsi="宋体" w:eastAsia="仿宋_GB2312"/>
          <w:sz w:val="32"/>
          <w:szCs w:val="32"/>
        </w:rPr>
        <w:t>投标单位</w:t>
      </w:r>
      <w:r>
        <w:rPr>
          <w:rFonts w:hint="eastAsia" w:ascii="仿宋_GB2312" w:hAnsi="宋体" w:eastAsia="仿宋_GB2312"/>
          <w:color w:val="000000"/>
          <w:sz w:val="32"/>
          <w:szCs w:val="32"/>
        </w:rPr>
        <w:t>需提供产品代理合同。</w:t>
      </w:r>
    </w:p>
    <w:p>
      <w:pPr>
        <w:rPr>
          <w:rFonts w:ascii="仿宋_GB2312" w:hAnsi="宋体" w:eastAsia="仿宋_GB2312"/>
          <w:color w:val="000000"/>
          <w:sz w:val="32"/>
          <w:szCs w:val="32"/>
        </w:rPr>
      </w:pPr>
      <w:r>
        <w:rPr>
          <w:rFonts w:hint="eastAsia" w:ascii="仿宋_GB2312" w:hAnsi="宋体" w:eastAsia="仿宋_GB2312"/>
          <w:color w:val="000000"/>
          <w:sz w:val="32"/>
          <w:szCs w:val="32"/>
        </w:rPr>
        <w:t>1.2.3 具有独立法人资格的制造商或代理商。</w:t>
      </w:r>
    </w:p>
    <w:p>
      <w:pPr>
        <w:rPr>
          <w:rFonts w:ascii="仿宋_GB2312" w:hAnsi="宋体" w:eastAsia="仿宋_GB2312"/>
          <w:color w:val="000000"/>
          <w:sz w:val="32"/>
          <w:szCs w:val="32"/>
        </w:rPr>
      </w:pPr>
      <w:r>
        <w:rPr>
          <w:rFonts w:hint="eastAsia" w:ascii="仿宋_GB2312" w:hAnsi="宋体" w:eastAsia="仿宋_GB2312"/>
          <w:color w:val="000000"/>
          <w:sz w:val="32"/>
          <w:szCs w:val="32"/>
        </w:rPr>
        <w:t>1.2.4 能独立承担民事责任和履行合同能力，具有良好的商业信誉和健全的财务会计管理制度，有依法缴纳税收和社会保障资金的良好记录。</w:t>
      </w:r>
    </w:p>
    <w:p>
      <w:pPr>
        <w:rPr>
          <w:rFonts w:ascii="仿宋_GB2312" w:hAnsi="宋体" w:eastAsia="仿宋_GB2312"/>
          <w:color w:val="000000"/>
          <w:sz w:val="32"/>
          <w:szCs w:val="32"/>
        </w:rPr>
      </w:pPr>
      <w:r>
        <w:rPr>
          <w:rFonts w:hint="eastAsia" w:ascii="仿宋_GB2312" w:hAnsi="宋体" w:eastAsia="仿宋_GB2312"/>
          <w:color w:val="000000"/>
          <w:sz w:val="32"/>
          <w:szCs w:val="32"/>
        </w:rPr>
        <w:t xml:space="preserve">1.2.5 </w:t>
      </w:r>
      <w:r>
        <w:rPr>
          <w:rFonts w:hint="eastAsia" w:ascii="仿宋_GB2312" w:hAnsi="宋体" w:eastAsia="仿宋_GB2312"/>
          <w:sz w:val="32"/>
          <w:szCs w:val="32"/>
        </w:rPr>
        <w:t>投标单位</w:t>
      </w:r>
      <w:r>
        <w:rPr>
          <w:rFonts w:hint="eastAsia" w:ascii="仿宋_GB2312" w:hAnsi="宋体" w:eastAsia="仿宋_GB2312"/>
          <w:color w:val="000000"/>
          <w:sz w:val="32"/>
          <w:szCs w:val="32"/>
        </w:rPr>
        <w:t>具有一般纳税人资格，可提供税率为13%的增值税专用发票。（需提供增值税一般纳税人资格登记表复印件并加盖公章，原件备查）</w:t>
      </w:r>
    </w:p>
    <w:p>
      <w:pPr>
        <w:rPr>
          <w:rFonts w:ascii="仿宋_GB2312" w:hAnsi="宋体" w:eastAsia="仿宋_GB2312"/>
          <w:color w:val="000000"/>
          <w:sz w:val="32"/>
          <w:szCs w:val="32"/>
        </w:rPr>
      </w:pPr>
      <w:r>
        <w:rPr>
          <w:rFonts w:hint="eastAsia" w:ascii="仿宋_GB2312" w:hAnsi="宋体" w:eastAsia="仿宋_GB2312"/>
          <w:color w:val="000000"/>
          <w:sz w:val="32"/>
          <w:szCs w:val="32"/>
        </w:rPr>
        <w:t>1.2.6 所有投标单位如果有国内机场的销售业绩的，需提供可证明业绩的证明。</w:t>
      </w:r>
    </w:p>
    <w:p>
      <w:pP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1.2.7 投标单位需具有ISO9001质量管理体系认证证书。</w:t>
      </w:r>
    </w:p>
    <w:p>
      <w:pP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1.2.8 投标单位需具有 ISO14001环境管理体系认证证书。</w:t>
      </w:r>
    </w:p>
    <w:p>
      <w:pP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1.2.9 投标单位需具有OHSAS18001职业健康安全管理体系认证证书。</w:t>
      </w:r>
    </w:p>
    <w:p>
      <w:pPr>
        <w:rPr>
          <w:rFonts w:ascii="仿宋_GB2312" w:hAnsi="宋体" w:eastAsia="仿宋_GB2312"/>
          <w:color w:val="000000"/>
          <w:sz w:val="32"/>
          <w:szCs w:val="32"/>
        </w:rPr>
      </w:pPr>
      <w:r>
        <w:rPr>
          <w:rFonts w:hint="eastAsia" w:ascii="仿宋_GB2312" w:hAnsi="宋体" w:eastAsia="仿宋_GB2312"/>
          <w:sz w:val="32"/>
          <w:szCs w:val="32"/>
        </w:rPr>
        <w:t>1.2.10 投标单位</w:t>
      </w:r>
      <w:r>
        <w:rPr>
          <w:rFonts w:hint="eastAsia" w:ascii="仿宋_GB2312" w:hAnsi="宋体" w:eastAsia="仿宋_GB2312"/>
          <w:color w:val="000000"/>
          <w:sz w:val="32"/>
          <w:szCs w:val="32"/>
        </w:rPr>
        <w:t>法人资格证明和参加竞争性磋商委托代理人员身份证明（法人不能到场参加的须提供授权委托书或</w:t>
      </w:r>
      <w:r>
        <w:rPr>
          <w:rFonts w:hint="eastAsia" w:ascii="仿宋_GB2312" w:hAnsi="宋体" w:eastAsia="仿宋_GB2312"/>
          <w:sz w:val="32"/>
          <w:szCs w:val="32"/>
        </w:rPr>
        <w:t>投标单位</w:t>
      </w:r>
      <w:r>
        <w:rPr>
          <w:rFonts w:hint="eastAsia" w:ascii="仿宋_GB2312" w:hAnsi="宋体" w:eastAsia="仿宋_GB2312"/>
          <w:color w:val="000000"/>
          <w:sz w:val="32"/>
          <w:szCs w:val="32"/>
        </w:rPr>
        <w:t>介绍信）。</w:t>
      </w:r>
    </w:p>
    <w:p>
      <w:pPr>
        <w:rPr>
          <w:rFonts w:ascii="仿宋_GB2312" w:hAnsi="宋体" w:eastAsia="仿宋_GB2312"/>
          <w:color w:val="000000"/>
          <w:sz w:val="32"/>
          <w:szCs w:val="32"/>
        </w:rPr>
      </w:pPr>
      <w:r>
        <w:rPr>
          <w:rFonts w:hint="eastAsia" w:ascii="仿宋_GB2312" w:hAnsi="宋体" w:eastAsia="仿宋_GB2312"/>
          <w:sz w:val="32"/>
          <w:szCs w:val="32"/>
        </w:rPr>
        <w:t>1.2.11 投标单位</w:t>
      </w:r>
      <w:r>
        <w:rPr>
          <w:rFonts w:hint="eastAsia" w:ascii="仿宋_GB2312" w:hAnsi="宋体" w:eastAsia="仿宋_GB2312"/>
          <w:color w:val="000000"/>
          <w:sz w:val="32"/>
          <w:szCs w:val="32"/>
        </w:rPr>
        <w:t>营业执照、组织机构代码证、税务登记证、企业资质、企业业绩。</w:t>
      </w:r>
    </w:p>
    <w:p>
      <w:pPr>
        <w:rPr>
          <w:rFonts w:ascii="仿宋_GB2312" w:hAnsi="宋体" w:eastAsia="仿宋_GB2312"/>
          <w:color w:val="000000"/>
          <w:sz w:val="32"/>
          <w:szCs w:val="32"/>
        </w:rPr>
      </w:pPr>
      <w:r>
        <w:rPr>
          <w:rFonts w:hint="eastAsia" w:ascii="仿宋_GB2312" w:hAnsi="宋体" w:eastAsia="仿宋_GB2312"/>
          <w:color w:val="000000"/>
          <w:sz w:val="32"/>
          <w:szCs w:val="32"/>
        </w:rPr>
        <w:t>1.2.12 评分标准中需要提供佐证的文件资料。</w:t>
      </w:r>
    </w:p>
    <w:p>
      <w:pPr>
        <w:rPr>
          <w:rFonts w:ascii="仿宋_GB2312" w:hAnsi="宋体" w:eastAsia="仿宋_GB2312"/>
          <w:color w:val="000000"/>
          <w:sz w:val="32"/>
          <w:szCs w:val="32"/>
        </w:rPr>
      </w:pPr>
      <w:r>
        <w:rPr>
          <w:rFonts w:hint="eastAsia" w:ascii="仿宋_GB2312" w:hAnsi="宋体" w:eastAsia="仿宋_GB2312"/>
          <w:color w:val="000000"/>
          <w:sz w:val="32"/>
          <w:szCs w:val="32"/>
        </w:rPr>
        <w:t xml:space="preserve">1.2.13 </w:t>
      </w:r>
      <w:r>
        <w:rPr>
          <w:rFonts w:hint="eastAsia" w:ascii="仿宋_GB2312" w:hAnsi="宋体" w:eastAsia="仿宋_GB2312"/>
          <w:sz w:val="32"/>
          <w:szCs w:val="32"/>
        </w:rPr>
        <w:t>投标单位</w:t>
      </w:r>
      <w:r>
        <w:rPr>
          <w:rFonts w:hint="eastAsia" w:ascii="仿宋_GB2312" w:hAnsi="宋体" w:eastAsia="仿宋_GB2312"/>
          <w:color w:val="000000"/>
          <w:sz w:val="32"/>
          <w:szCs w:val="32"/>
        </w:rPr>
        <w:t>联系人及方式。</w:t>
      </w:r>
    </w:p>
    <w:p>
      <w:pPr>
        <w:rPr>
          <w:rFonts w:ascii="仿宋_GB2312" w:hAnsi="宋体" w:eastAsia="仿宋_GB2312"/>
          <w:color w:val="000000"/>
          <w:sz w:val="32"/>
          <w:szCs w:val="32"/>
        </w:rPr>
      </w:pPr>
      <w:r>
        <w:rPr>
          <w:rFonts w:hint="eastAsia" w:ascii="仿宋_GB2312" w:hAnsi="宋体" w:eastAsia="仿宋_GB2312"/>
          <w:color w:val="000000"/>
          <w:sz w:val="32"/>
          <w:szCs w:val="32"/>
        </w:rPr>
        <w:t>注：各</w:t>
      </w:r>
      <w:r>
        <w:rPr>
          <w:rFonts w:hint="eastAsia" w:ascii="仿宋_GB2312" w:hAnsi="宋体" w:eastAsia="仿宋_GB2312"/>
          <w:sz w:val="32"/>
          <w:szCs w:val="32"/>
        </w:rPr>
        <w:t>投标单位</w:t>
      </w:r>
      <w:r>
        <w:rPr>
          <w:rFonts w:hint="eastAsia" w:ascii="仿宋_GB2312" w:hAnsi="宋体" w:eastAsia="仿宋_GB2312"/>
          <w:color w:val="000000"/>
          <w:sz w:val="32"/>
          <w:szCs w:val="32"/>
        </w:rPr>
        <w:t>领取竞争性磋商文件需提供以上文件</w:t>
      </w:r>
      <w:r>
        <w:rPr>
          <w:rFonts w:hint="eastAsia" w:ascii="仿宋_GB2312" w:hAnsi="宋体" w:eastAsia="仿宋_GB2312"/>
          <w:sz w:val="32"/>
          <w:szCs w:val="32"/>
        </w:rPr>
        <w:t>（须装订成册、密封并在每一页加盖公司鲜章）</w:t>
      </w:r>
    </w:p>
    <w:p>
      <w:pPr>
        <w:rPr>
          <w:rFonts w:ascii="仿宋_GB2312" w:hAnsi="宋体" w:eastAsia="仿宋_GB2312"/>
          <w:b/>
          <w:color w:val="000000"/>
          <w:sz w:val="32"/>
          <w:szCs w:val="32"/>
        </w:rPr>
      </w:pPr>
      <w:r>
        <w:rPr>
          <w:rFonts w:hint="eastAsia" w:ascii="仿宋_GB2312" w:hAnsi="宋体" w:eastAsia="仿宋_GB2312"/>
          <w:b/>
          <w:color w:val="000000"/>
          <w:sz w:val="32"/>
          <w:szCs w:val="32"/>
        </w:rPr>
        <w:t>1.3  工作地点及范围、标准</w:t>
      </w:r>
    </w:p>
    <w:p>
      <w:pPr>
        <w:rPr>
          <w:rFonts w:ascii="仿宋_GB2312" w:eastAsia="仿宋_GB2312"/>
          <w:sz w:val="32"/>
          <w:szCs w:val="32"/>
        </w:rPr>
      </w:pPr>
      <w:r>
        <w:rPr>
          <w:rFonts w:hint="eastAsia" w:ascii="仿宋_GB2312" w:eastAsia="仿宋_GB2312"/>
          <w:sz w:val="32"/>
          <w:szCs w:val="32"/>
        </w:rPr>
        <w:t>1.3.1  工作地点为：机坪土面区</w:t>
      </w:r>
    </w:p>
    <w:p>
      <w:pPr>
        <w:rPr>
          <w:rFonts w:ascii="仿宋_GB2312" w:eastAsia="仿宋_GB2312"/>
          <w:sz w:val="32"/>
          <w:szCs w:val="32"/>
        </w:rPr>
      </w:pPr>
      <w:r>
        <w:rPr>
          <w:rFonts w:hint="eastAsia" w:ascii="仿宋_GB2312" w:eastAsia="仿宋_GB2312"/>
          <w:sz w:val="32"/>
          <w:szCs w:val="32"/>
        </w:rPr>
        <w:t>1.3.2  工作范围为：提供符合本技术规范书要求的驱鸟设备的试验与检验资料、产品合格证、使用培训、现场安装调试及技术服务。</w:t>
      </w:r>
    </w:p>
    <w:p>
      <w:pPr>
        <w:rPr>
          <w:rFonts w:ascii="仿宋_GB2312" w:eastAsia="仿宋_GB2312"/>
          <w:b/>
          <w:sz w:val="32"/>
          <w:szCs w:val="32"/>
        </w:rPr>
      </w:pPr>
      <w:r>
        <w:rPr>
          <w:rFonts w:hint="eastAsia" w:ascii="仿宋_GB2312" w:eastAsia="仿宋_GB2312"/>
          <w:b/>
          <w:sz w:val="32"/>
          <w:szCs w:val="32"/>
        </w:rPr>
        <w:t>1.4  对图纸、说明书和试验报告的要求</w:t>
      </w:r>
    </w:p>
    <w:p>
      <w:pPr>
        <w:rPr>
          <w:rFonts w:ascii="仿宋_GB2312" w:eastAsia="仿宋_GB2312"/>
          <w:sz w:val="32"/>
          <w:szCs w:val="32"/>
        </w:rPr>
      </w:pPr>
      <w:r>
        <w:rPr>
          <w:rFonts w:hint="eastAsia" w:ascii="仿宋_GB2312" w:eastAsia="仿宋_GB2312"/>
          <w:sz w:val="32"/>
          <w:szCs w:val="32"/>
        </w:rPr>
        <w:t>1.4.1  图纸资料（含电子文档）包括如下内容：</w:t>
      </w:r>
    </w:p>
    <w:p>
      <w:pPr>
        <w:rPr>
          <w:rFonts w:ascii="仿宋_GB2312" w:eastAsia="仿宋_GB2312"/>
          <w:sz w:val="32"/>
          <w:szCs w:val="32"/>
        </w:rPr>
      </w:pPr>
      <w:r>
        <w:rPr>
          <w:rFonts w:hint="eastAsia" w:ascii="仿宋_GB2312" w:eastAsia="仿宋_GB2312"/>
          <w:sz w:val="32"/>
          <w:szCs w:val="32"/>
        </w:rPr>
        <w:t>1）驱鸟设备的说明书；</w:t>
      </w:r>
    </w:p>
    <w:p>
      <w:pPr>
        <w:rPr>
          <w:rFonts w:ascii="仿宋_GB2312" w:eastAsia="仿宋_GB2312"/>
          <w:sz w:val="32"/>
          <w:szCs w:val="32"/>
        </w:rPr>
      </w:pPr>
      <w:r>
        <w:rPr>
          <w:rFonts w:hint="eastAsia" w:ascii="仿宋_GB2312" w:eastAsia="仿宋_GB2312"/>
          <w:sz w:val="32"/>
          <w:szCs w:val="32"/>
        </w:rPr>
        <w:t>2) 驱鸟设备的接线示意图；</w:t>
      </w:r>
    </w:p>
    <w:p>
      <w:pPr>
        <w:rPr>
          <w:rFonts w:ascii="仿宋_GB2312" w:eastAsia="仿宋_GB2312"/>
          <w:sz w:val="32"/>
          <w:szCs w:val="32"/>
        </w:rPr>
      </w:pPr>
      <w:r>
        <w:rPr>
          <w:rFonts w:hint="eastAsia" w:ascii="仿宋_GB2312" w:eastAsia="仿宋_GB2312"/>
          <w:sz w:val="32"/>
          <w:szCs w:val="32"/>
        </w:rPr>
        <w:t xml:space="preserve">3) 驱鸟设备的运行维护手册； </w:t>
      </w:r>
    </w:p>
    <w:p>
      <w:pPr>
        <w:rPr>
          <w:rFonts w:ascii="仿宋_GB2312" w:eastAsia="仿宋_GB2312"/>
          <w:sz w:val="32"/>
          <w:szCs w:val="32"/>
        </w:rPr>
      </w:pPr>
      <w:r>
        <w:rPr>
          <w:rFonts w:hint="eastAsia" w:ascii="仿宋_GB2312" w:eastAsia="仿宋_GB2312"/>
          <w:sz w:val="32"/>
          <w:szCs w:val="32"/>
        </w:rPr>
        <w:t>4）其他有关的图纸。</w:t>
      </w:r>
    </w:p>
    <w:p>
      <w:pPr>
        <w:rPr>
          <w:rFonts w:ascii="仿宋_GB2312" w:eastAsia="仿宋_GB2312"/>
          <w:sz w:val="32"/>
          <w:szCs w:val="32"/>
        </w:rPr>
      </w:pPr>
      <w:r>
        <w:rPr>
          <w:rFonts w:hint="eastAsia" w:ascii="仿宋_GB2312" w:eastAsia="仿宋_GB2312"/>
          <w:sz w:val="32"/>
          <w:szCs w:val="32"/>
        </w:rPr>
        <w:t xml:space="preserve">1.4.2  对说明书的要求： </w:t>
      </w:r>
    </w:p>
    <w:p>
      <w:pPr>
        <w:rPr>
          <w:rFonts w:ascii="仿宋_GB2312" w:eastAsia="仿宋_GB2312"/>
          <w:sz w:val="32"/>
          <w:szCs w:val="32"/>
        </w:rPr>
      </w:pPr>
      <w:r>
        <w:rPr>
          <w:rFonts w:hint="eastAsia" w:ascii="仿宋_GB2312" w:eastAsia="仿宋_GB2312"/>
          <w:sz w:val="32"/>
          <w:szCs w:val="32"/>
        </w:rPr>
        <w:t xml:space="preserve">1.4.2.1  说明书应是设备安装、运行、检验、维护等方面的说明，说明书由制造厂提供并注明就近服务的授权机构。说明书应装订成册。  </w:t>
      </w:r>
    </w:p>
    <w:p>
      <w:pPr>
        <w:rPr>
          <w:rFonts w:ascii="仿宋_GB2312" w:eastAsia="仿宋_GB2312"/>
          <w:sz w:val="32"/>
          <w:szCs w:val="32"/>
        </w:rPr>
      </w:pPr>
      <w:r>
        <w:rPr>
          <w:rFonts w:hint="eastAsia" w:ascii="仿宋_GB2312" w:eastAsia="仿宋_GB2312"/>
          <w:sz w:val="32"/>
          <w:szCs w:val="32"/>
        </w:rPr>
        <w:t xml:space="preserve">1.4.2.2  说明书包括： </w:t>
      </w:r>
    </w:p>
    <w:p>
      <w:pPr>
        <w:rPr>
          <w:rFonts w:ascii="仿宋_GB2312" w:eastAsia="仿宋_GB2312"/>
          <w:sz w:val="32"/>
          <w:szCs w:val="32"/>
        </w:rPr>
      </w:pPr>
      <w:r>
        <w:rPr>
          <w:rFonts w:hint="eastAsia" w:ascii="仿宋_GB2312" w:eastAsia="仿宋_GB2312"/>
          <w:sz w:val="32"/>
          <w:szCs w:val="32"/>
        </w:rPr>
        <w:t xml:space="preserve">1）驱鸟设备的描述； </w:t>
      </w:r>
    </w:p>
    <w:p>
      <w:pPr>
        <w:rPr>
          <w:rFonts w:ascii="仿宋_GB2312" w:eastAsia="仿宋_GB2312"/>
          <w:sz w:val="32"/>
          <w:szCs w:val="32"/>
        </w:rPr>
      </w:pPr>
      <w:r>
        <w:rPr>
          <w:rFonts w:hint="eastAsia" w:ascii="仿宋_GB2312" w:eastAsia="仿宋_GB2312"/>
          <w:sz w:val="32"/>
          <w:szCs w:val="32"/>
        </w:rPr>
        <w:t xml:space="preserve">2）驱鸟设备的技术参数； </w:t>
      </w:r>
    </w:p>
    <w:p>
      <w:pPr>
        <w:rPr>
          <w:rFonts w:ascii="仿宋_GB2312" w:eastAsia="仿宋_GB2312"/>
          <w:sz w:val="32"/>
          <w:szCs w:val="32"/>
        </w:rPr>
      </w:pPr>
      <w:r>
        <w:rPr>
          <w:rFonts w:hint="eastAsia" w:ascii="仿宋_GB2312" w:eastAsia="仿宋_GB2312"/>
          <w:sz w:val="32"/>
          <w:szCs w:val="32"/>
        </w:rPr>
        <w:t>3）施工安装手册（含施工设备要求）及运行维护手册；</w:t>
      </w:r>
    </w:p>
    <w:p>
      <w:pPr>
        <w:rPr>
          <w:rFonts w:ascii="仿宋_GB2312" w:eastAsia="仿宋_GB2312"/>
          <w:sz w:val="32"/>
          <w:szCs w:val="32"/>
        </w:rPr>
      </w:pPr>
      <w:r>
        <w:rPr>
          <w:rFonts w:hint="eastAsia" w:ascii="仿宋_GB2312" w:eastAsia="仿宋_GB2312"/>
          <w:sz w:val="32"/>
          <w:szCs w:val="32"/>
        </w:rPr>
        <w:t xml:space="preserve">4）包装、运输、存放要求； </w:t>
      </w:r>
    </w:p>
    <w:p>
      <w:pPr>
        <w:rPr>
          <w:rFonts w:ascii="仿宋_GB2312" w:eastAsia="仿宋_GB2312"/>
          <w:sz w:val="32"/>
          <w:szCs w:val="32"/>
        </w:rPr>
      </w:pPr>
      <w:r>
        <w:rPr>
          <w:rFonts w:hint="eastAsia" w:ascii="仿宋_GB2312" w:eastAsia="仿宋_GB2312"/>
          <w:sz w:val="32"/>
          <w:szCs w:val="32"/>
        </w:rPr>
        <w:t xml:space="preserve">5）其他有关资料和说明。 </w:t>
      </w:r>
    </w:p>
    <w:p>
      <w:pPr>
        <w:rPr>
          <w:rFonts w:ascii="仿宋_GB2312" w:eastAsia="仿宋_GB2312"/>
          <w:sz w:val="32"/>
          <w:szCs w:val="32"/>
        </w:rPr>
      </w:pPr>
      <w:r>
        <w:rPr>
          <w:rFonts w:hint="eastAsia" w:ascii="仿宋_GB2312" w:eastAsia="仿宋_GB2312"/>
          <w:sz w:val="32"/>
          <w:szCs w:val="32"/>
        </w:rPr>
        <w:t>1.4.2.3 说明书应使用中文书写。</w:t>
      </w:r>
    </w:p>
    <w:p>
      <w:pPr>
        <w:rPr>
          <w:rFonts w:ascii="仿宋_GB2312" w:eastAsia="仿宋_GB2312"/>
          <w:sz w:val="32"/>
          <w:szCs w:val="32"/>
        </w:rPr>
      </w:pPr>
      <w:r>
        <w:rPr>
          <w:rFonts w:hint="eastAsia" w:ascii="仿宋_GB2312" w:eastAsia="仿宋_GB2312"/>
          <w:sz w:val="32"/>
          <w:szCs w:val="32"/>
        </w:rPr>
        <w:t>1.4.3 其他资料：</w:t>
      </w:r>
    </w:p>
    <w:p>
      <w:pPr>
        <w:rPr>
          <w:rFonts w:ascii="仿宋_GB2312" w:eastAsia="仿宋_GB2312"/>
          <w:sz w:val="32"/>
          <w:szCs w:val="32"/>
        </w:rPr>
      </w:pPr>
      <w:r>
        <w:rPr>
          <w:rFonts w:hint="eastAsia" w:ascii="仿宋_GB2312" w:eastAsia="仿宋_GB2312"/>
          <w:sz w:val="32"/>
          <w:szCs w:val="32"/>
        </w:rPr>
        <w:t xml:space="preserve">1）产品合格证； </w:t>
      </w:r>
    </w:p>
    <w:p>
      <w:pPr>
        <w:rPr>
          <w:rFonts w:ascii="仿宋_GB2312" w:eastAsia="仿宋_GB2312"/>
          <w:sz w:val="32"/>
          <w:szCs w:val="32"/>
        </w:rPr>
      </w:pPr>
      <w:r>
        <w:rPr>
          <w:rFonts w:hint="eastAsia" w:ascii="仿宋_GB2312" w:eastAsia="仿宋_GB2312"/>
          <w:sz w:val="32"/>
          <w:szCs w:val="32"/>
        </w:rPr>
        <w:t xml:space="preserve">2）推荐的维修周期； </w:t>
      </w:r>
    </w:p>
    <w:p>
      <w:pPr>
        <w:rPr>
          <w:rFonts w:ascii="仿宋_GB2312" w:eastAsia="仿宋_GB2312"/>
          <w:sz w:val="32"/>
          <w:szCs w:val="32"/>
        </w:rPr>
      </w:pPr>
      <w:r>
        <w:rPr>
          <w:rFonts w:hint="eastAsia" w:ascii="仿宋_GB2312" w:eastAsia="仿宋_GB2312"/>
          <w:sz w:val="32"/>
          <w:szCs w:val="32"/>
        </w:rPr>
        <w:t xml:space="preserve">3）其他需要提供的资料。  </w:t>
      </w:r>
    </w:p>
    <w:p>
      <w:pPr>
        <w:rPr>
          <w:rFonts w:ascii="仿宋_GB2312" w:eastAsia="仿宋_GB2312"/>
          <w:b/>
          <w:sz w:val="32"/>
          <w:szCs w:val="32"/>
        </w:rPr>
      </w:pPr>
      <w:r>
        <w:rPr>
          <w:rFonts w:hint="eastAsia" w:ascii="仿宋_GB2312" w:eastAsia="仿宋_GB2312"/>
          <w:b/>
          <w:sz w:val="32"/>
          <w:szCs w:val="32"/>
        </w:rPr>
        <w:t xml:space="preserve">1.5  安装、试运行、供货及验收  </w:t>
      </w:r>
    </w:p>
    <w:p>
      <w:pPr>
        <w:rPr>
          <w:rFonts w:ascii="仿宋_GB2312" w:eastAsia="仿宋_GB2312"/>
          <w:sz w:val="32"/>
          <w:szCs w:val="32"/>
        </w:rPr>
      </w:pPr>
      <w:r>
        <w:rPr>
          <w:rFonts w:hint="eastAsia" w:ascii="仿宋_GB2312" w:eastAsia="仿宋_GB2312"/>
          <w:sz w:val="32"/>
          <w:szCs w:val="32"/>
        </w:rPr>
        <w:t xml:space="preserve">1.5.1  驱鸟设备的安装，由中标人技术人员进行。    </w:t>
      </w:r>
    </w:p>
    <w:p>
      <w:pPr>
        <w:rPr>
          <w:rFonts w:ascii="仿宋_GB2312" w:eastAsia="仿宋_GB2312"/>
          <w:sz w:val="32"/>
          <w:szCs w:val="32"/>
        </w:rPr>
      </w:pPr>
      <w:r>
        <w:rPr>
          <w:rFonts w:hint="eastAsia" w:ascii="仿宋_GB2312" w:eastAsia="仿宋_GB2312"/>
          <w:sz w:val="32"/>
          <w:szCs w:val="32"/>
        </w:rPr>
        <w:t xml:space="preserve">1.5.2  驱鸟设备安装完成后，中标人应提供详细的安装资料。招标人组织初验。  </w:t>
      </w:r>
    </w:p>
    <w:p>
      <w:pPr>
        <w:rPr>
          <w:rFonts w:ascii="仿宋_GB2312" w:eastAsia="仿宋_GB2312"/>
          <w:sz w:val="32"/>
          <w:szCs w:val="32"/>
        </w:rPr>
      </w:pPr>
      <w:r>
        <w:rPr>
          <w:rFonts w:hint="eastAsia" w:ascii="仿宋_GB2312" w:eastAsia="仿宋_GB2312"/>
          <w:sz w:val="32"/>
          <w:szCs w:val="32"/>
        </w:rPr>
        <w:t xml:space="preserve">1.5.3  初验合格后驱鸟设备进入试运行阶段，试运行期为1个月。如果系统发生严重故障，试运行期重新计算。 </w:t>
      </w:r>
    </w:p>
    <w:p>
      <w:pPr>
        <w:rPr>
          <w:rFonts w:ascii="仿宋_GB2312" w:eastAsia="仿宋_GB2312"/>
          <w:sz w:val="32"/>
          <w:szCs w:val="32"/>
        </w:rPr>
      </w:pPr>
      <w:r>
        <w:rPr>
          <w:rFonts w:hint="eastAsia" w:ascii="仿宋_GB2312" w:eastAsia="仿宋_GB2312"/>
          <w:sz w:val="32"/>
          <w:szCs w:val="32"/>
        </w:rPr>
        <w:t xml:space="preserve">1.5.4  试运行期满后，招标人组织进行终验。终验合格后设备进入质保期。  </w:t>
      </w:r>
    </w:p>
    <w:p>
      <w:pPr>
        <w:rPr>
          <w:rFonts w:ascii="仿宋_GB2312" w:eastAsia="仿宋_GB2312"/>
          <w:sz w:val="32"/>
          <w:szCs w:val="32"/>
        </w:rPr>
      </w:pPr>
      <w:r>
        <w:rPr>
          <w:rFonts w:hint="eastAsia" w:ascii="仿宋_GB2312" w:eastAsia="仿宋_GB2312"/>
          <w:sz w:val="32"/>
          <w:szCs w:val="32"/>
        </w:rPr>
        <w:t>1.5.5  在安装、试运行及质保期内，驱鸟设备发生异常及故障时，中标人应免费更换。</w:t>
      </w:r>
    </w:p>
    <w:p>
      <w:r>
        <w:rPr>
          <w:rFonts w:hint="eastAsia" w:ascii="仿宋_GB2312" w:eastAsia="仿宋_GB2312"/>
          <w:sz w:val="32"/>
          <w:szCs w:val="32"/>
        </w:rPr>
        <w:t>1.5.</w:t>
      </w:r>
      <w:r>
        <w:rPr>
          <w:rFonts w:hint="eastAsia" w:ascii="仿宋_GB2312" w:eastAsia="仿宋_GB2312"/>
          <w:sz w:val="32"/>
          <w:szCs w:val="32"/>
          <w:lang w:val="en-US" w:eastAsia="zh-CN"/>
        </w:rPr>
        <w:t>6</w:t>
      </w:r>
      <w:r>
        <w:rPr>
          <w:rFonts w:hint="eastAsia" w:ascii="仿宋_GB2312" w:eastAsia="仿宋_GB2312"/>
          <w:sz w:val="32"/>
          <w:szCs w:val="32"/>
        </w:rPr>
        <w:t xml:space="preserve">  供货时间：3月31日前完成供货安装。</w:t>
      </w:r>
    </w:p>
    <w:p>
      <w:pPr>
        <w:rPr>
          <w:rFonts w:ascii="仿宋_GB2312" w:eastAsia="仿宋_GB2312"/>
          <w:b/>
          <w:sz w:val="32"/>
          <w:szCs w:val="32"/>
        </w:rPr>
      </w:pPr>
      <w:r>
        <w:rPr>
          <w:rFonts w:hint="eastAsia" w:ascii="仿宋_GB2312" w:eastAsia="仿宋_GB2312"/>
          <w:b/>
          <w:sz w:val="32"/>
          <w:szCs w:val="32"/>
        </w:rPr>
        <w:t>2  技术参数和性能要求</w:t>
      </w:r>
    </w:p>
    <w:p>
      <w:pPr>
        <w:rPr>
          <w:rFonts w:ascii="仿宋_GB2312" w:hAnsi="宋体" w:eastAsia="仿宋_GB2312"/>
          <w:sz w:val="32"/>
          <w:szCs w:val="32"/>
        </w:rPr>
      </w:pPr>
      <w:r>
        <w:rPr>
          <w:rFonts w:hint="eastAsia" w:ascii="仿宋_GB2312" w:hAnsi="宋体" w:eastAsia="仿宋_GB2312"/>
          <w:sz w:val="32"/>
          <w:szCs w:val="32"/>
        </w:rPr>
        <w:t>2.1、控制系统：微电脑控制，可自动、手动控制；具有连续发射功能，连发次数可设置1-5次；</w:t>
      </w:r>
    </w:p>
    <w:p>
      <w:pPr>
        <w:rPr>
          <w:rFonts w:ascii="仿宋_GB2312" w:hAnsi="宋体" w:eastAsia="仿宋_GB2312"/>
          <w:sz w:val="32"/>
          <w:szCs w:val="32"/>
        </w:rPr>
      </w:pPr>
      <w:r>
        <w:rPr>
          <w:rFonts w:hint="eastAsia" w:ascii="仿宋_GB2312" w:hAnsi="宋体" w:eastAsia="仿宋_GB2312"/>
          <w:sz w:val="32"/>
          <w:szCs w:val="32"/>
        </w:rPr>
        <w:t>★2.2、电路主板：有清晰的液晶显示屏，可显示：时间、响炮间隔；具有的功能：时间设置、运行区间设置（可设置两个以上的运行区间）、开关机设置等。操作模式为触摸屏式。煤气炮主板具有燃烧室进气时间调节的功能；</w:t>
      </w:r>
    </w:p>
    <w:p>
      <w:pPr>
        <w:rPr>
          <w:rFonts w:ascii="仿宋_GB2312" w:hAnsi="宋体" w:eastAsia="仿宋_GB2312"/>
          <w:sz w:val="32"/>
          <w:szCs w:val="32"/>
        </w:rPr>
      </w:pPr>
      <w:r>
        <w:rPr>
          <w:rFonts w:hint="eastAsia" w:ascii="仿宋_GB2312" w:eastAsia="仿宋_GB2312"/>
          <w:b/>
          <w:sz w:val="32"/>
          <w:szCs w:val="32"/>
        </w:rPr>
        <w:t>★</w:t>
      </w:r>
      <w:r>
        <w:rPr>
          <w:rFonts w:hint="eastAsia" w:ascii="仿宋_GB2312" w:hAnsi="宋体" w:eastAsia="仿宋_GB2312"/>
          <w:sz w:val="32"/>
          <w:szCs w:val="32"/>
        </w:rPr>
        <w:t>2.3、发炮声压：最大声压级（1米处）≥120dB；发炮间隔：1-60分钟/次设定；</w:t>
      </w:r>
    </w:p>
    <w:p>
      <w:pPr>
        <w:rPr>
          <w:rFonts w:ascii="仿宋_GB2312" w:hAnsi="宋体" w:eastAsia="仿宋_GB2312"/>
          <w:sz w:val="32"/>
          <w:szCs w:val="32"/>
        </w:rPr>
      </w:pPr>
      <w:r>
        <w:rPr>
          <w:rFonts w:hint="eastAsia" w:ascii="仿宋_GB2312" w:hAnsi="宋体" w:eastAsia="仿宋_GB2312"/>
          <w:sz w:val="32"/>
          <w:szCs w:val="32"/>
        </w:rPr>
        <w:t>2.4、电源系统：太阳能供电，所提供电池需满足，不间断连续工作时间≥7天；</w:t>
      </w:r>
    </w:p>
    <w:p>
      <w:pPr>
        <w:rPr>
          <w:rFonts w:ascii="仿宋_GB2312" w:eastAsia="仿宋_GB2312"/>
          <w:bCs/>
          <w:sz w:val="32"/>
          <w:szCs w:val="32"/>
        </w:rPr>
      </w:pPr>
      <w:r>
        <w:rPr>
          <w:rFonts w:hint="eastAsia" w:ascii="仿宋_GB2312" w:eastAsia="仿宋_GB2312"/>
          <w:b/>
          <w:sz w:val="32"/>
          <w:szCs w:val="32"/>
        </w:rPr>
        <w:t>★</w:t>
      </w:r>
      <w:r>
        <w:rPr>
          <w:rFonts w:hint="eastAsia" w:ascii="仿宋_GB2312" w:eastAsia="仿宋_GB2312"/>
          <w:bCs/>
          <w:sz w:val="32"/>
          <w:szCs w:val="32"/>
        </w:rPr>
        <w:t>2.5、燃烧室、炮管需采用304不锈钢制造；供气系统采用双电磁阀控制，双道安全保险；</w:t>
      </w:r>
    </w:p>
    <w:p>
      <w:pPr>
        <w:rPr>
          <w:rFonts w:ascii="仿宋_GB2312" w:eastAsia="仿宋_GB2312"/>
          <w:bCs/>
          <w:sz w:val="32"/>
          <w:szCs w:val="32"/>
        </w:rPr>
      </w:pPr>
      <w:r>
        <w:rPr>
          <w:rFonts w:hint="eastAsia" w:ascii="仿宋_GB2312" w:eastAsia="仿宋_GB2312"/>
          <w:bCs/>
          <w:sz w:val="32"/>
          <w:szCs w:val="32"/>
        </w:rPr>
        <w:t>2.6、设备应便于维修，同时投标企业应具有较强的维修、维护能力。自行对维修的便捷性进行描述；</w:t>
      </w:r>
    </w:p>
    <w:p>
      <w:pPr>
        <w:rPr>
          <w:rFonts w:ascii="仿宋_GB2312" w:eastAsia="仿宋_GB2312"/>
          <w:b/>
          <w:sz w:val="32"/>
          <w:szCs w:val="32"/>
        </w:rPr>
      </w:pPr>
      <w:r>
        <w:rPr>
          <w:rFonts w:hint="eastAsia" w:ascii="仿宋_GB2312" w:eastAsia="仿宋_GB2312"/>
          <w:b/>
          <w:sz w:val="32"/>
          <w:szCs w:val="32"/>
        </w:rPr>
        <w:t>3  售后服务及质保</w:t>
      </w:r>
    </w:p>
    <w:p>
      <w:pPr>
        <w:rPr>
          <w:rFonts w:ascii="仿宋_GB2312" w:eastAsia="仿宋_GB2312"/>
          <w:sz w:val="32"/>
          <w:szCs w:val="32"/>
        </w:rPr>
      </w:pPr>
      <w:r>
        <w:rPr>
          <w:rFonts w:hint="eastAsia" w:ascii="仿宋_GB2312" w:eastAsia="仿宋_GB2312"/>
          <w:sz w:val="32"/>
          <w:szCs w:val="32"/>
        </w:rPr>
        <w:t xml:space="preserve">3.1驱鸟设备质保期为一年，质保期内因产品质量问题造成的故障由中标人费修理和更换，费用自理。质保期满后提供长期的维修、维护及技术服务。  </w:t>
      </w:r>
    </w:p>
    <w:p>
      <w:pPr>
        <w:rPr>
          <w:sz w:val="30"/>
          <w:szCs w:val="30"/>
        </w:rPr>
      </w:pPr>
      <w:r>
        <w:rPr>
          <w:rFonts w:hint="eastAsia" w:ascii="仿宋_GB2312" w:eastAsia="仿宋_GB2312"/>
          <w:sz w:val="32"/>
          <w:szCs w:val="32"/>
        </w:rPr>
        <w:t>3.2由中标人负责维修和更换有缺陷的驱鸟设备时，则质保期按实际维修或更换所延误的时间作相应的延长，经更换或维修的驱鸟设备其质保期应重新计算。</w:t>
      </w:r>
    </w:p>
    <w:p>
      <w:pPr>
        <w:tabs>
          <w:tab w:val="left" w:pos="2942"/>
        </w:tabs>
        <w:jc w:val="left"/>
        <w:sectPr>
          <w:headerReference r:id="rId3" w:type="default"/>
          <w:pgSz w:w="11906" w:h="16838"/>
          <w:pgMar w:top="1440" w:right="1800" w:bottom="1440" w:left="1800" w:header="851" w:footer="992" w:gutter="0"/>
          <w:cols w:space="425" w:num="1"/>
          <w:docGrid w:type="lines" w:linePitch="312" w:charSpace="0"/>
        </w:sectPr>
      </w:pPr>
    </w:p>
    <w:p>
      <w:pPr>
        <w:jc w:val="center"/>
        <w:rPr>
          <w:rFonts w:ascii="仿宋_GB2312" w:eastAsia="仿宋_GB2312"/>
          <w:b/>
          <w:sz w:val="30"/>
          <w:szCs w:val="30"/>
        </w:rPr>
      </w:pPr>
      <w:bookmarkStart w:id="0" w:name="_GoBack"/>
      <w:bookmarkEnd w:id="0"/>
      <w:r>
        <w:rPr>
          <w:rFonts w:hint="eastAsia" w:ascii="仿宋_GB2312" w:eastAsia="仿宋_GB2312"/>
          <w:bCs/>
          <w:sz w:val="36"/>
          <w:szCs w:val="36"/>
        </w:rPr>
        <w:t>绵阳机场（集团）有限公司驱鸟设备采购项目竞争性磋商评分表</w:t>
      </w:r>
    </w:p>
    <w:p>
      <w:pPr>
        <w:ind w:firstLine="480" w:firstLineChars="200"/>
        <w:rPr>
          <w:rFonts w:ascii="仿宋" w:hAnsi="仿宋" w:eastAsia="仿宋"/>
          <w:sz w:val="24"/>
        </w:rPr>
      </w:pPr>
      <w:r>
        <w:rPr>
          <w:rFonts w:hint="eastAsia" w:ascii="仿宋" w:hAnsi="仿宋" w:eastAsia="仿宋"/>
          <w:sz w:val="24"/>
        </w:rPr>
        <w:t>评标时间：2020年  月  日</w:t>
      </w:r>
    </w:p>
    <w:p>
      <w:pPr>
        <w:ind w:firstLine="480" w:firstLineChars="200"/>
        <w:rPr>
          <w:rFonts w:ascii="仿宋" w:hAnsi="仿宋" w:eastAsia="仿宋"/>
          <w:sz w:val="24"/>
        </w:rPr>
      </w:pPr>
      <w:r>
        <w:rPr>
          <w:rFonts w:hint="eastAsia" w:ascii="仿宋" w:hAnsi="仿宋" w:eastAsia="仿宋"/>
          <w:sz w:val="24"/>
        </w:rPr>
        <w:t>评标人员（签字）：</w:t>
      </w:r>
    </w:p>
    <w:p>
      <w:pPr>
        <w:ind w:firstLine="480" w:firstLineChars="200"/>
        <w:rPr>
          <w:rFonts w:ascii="仿宋" w:hAnsi="仿宋" w:eastAsia="仿宋"/>
          <w:sz w:val="24"/>
        </w:rPr>
      </w:pPr>
      <w:r>
        <w:rPr>
          <w:rFonts w:hint="eastAsia" w:ascii="仿宋" w:hAnsi="仿宋" w:eastAsia="仿宋"/>
          <w:sz w:val="24"/>
        </w:rPr>
        <w:t>总分：100分</w:t>
      </w:r>
    </w:p>
    <w:tbl>
      <w:tblPr>
        <w:tblStyle w:val="8"/>
        <w:tblpPr w:leftFromText="180" w:rightFromText="180" w:vertAnchor="text" w:horzAnchor="page" w:tblpX="1416" w:tblpY="189"/>
        <w:tblOverlap w:val="never"/>
        <w:tblW w:w="14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2050"/>
        <w:gridCol w:w="1133"/>
        <w:gridCol w:w="4673"/>
        <w:gridCol w:w="1379"/>
        <w:gridCol w:w="1619"/>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22"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b/>
                <w:color w:val="000000" w:themeColor="text1"/>
                <w:szCs w:val="21"/>
              </w:rPr>
            </w:pPr>
            <w:r>
              <w:rPr>
                <w:rFonts w:hint="eastAsia" w:ascii="仿宋_GB2312" w:eastAsia="仿宋_GB2312"/>
                <w:b/>
                <w:color w:val="000000" w:themeColor="text1"/>
                <w:szCs w:val="21"/>
              </w:rPr>
              <w:t>项     目</w:t>
            </w:r>
          </w:p>
        </w:tc>
        <w:tc>
          <w:tcPr>
            <w:tcW w:w="2050" w:type="dxa"/>
            <w:vMerge w:val="restart"/>
            <w:tcBorders>
              <w:left w:val="single" w:color="auto" w:sz="4" w:space="0"/>
            </w:tcBorders>
            <w:vAlign w:val="center"/>
          </w:tcPr>
          <w:p>
            <w:pPr>
              <w:jc w:val="center"/>
              <w:rPr>
                <w:rFonts w:ascii="仿宋_GB2312" w:eastAsia="仿宋_GB2312"/>
                <w:b/>
                <w:color w:val="000000" w:themeColor="text1"/>
                <w:szCs w:val="21"/>
              </w:rPr>
            </w:pPr>
            <w:r>
              <w:rPr>
                <w:rFonts w:hint="eastAsia" w:ascii="仿宋_GB2312" w:eastAsia="仿宋_GB2312"/>
                <w:b/>
                <w:color w:val="000000" w:themeColor="text1"/>
                <w:szCs w:val="21"/>
              </w:rPr>
              <w:t>要  点</w:t>
            </w:r>
          </w:p>
        </w:tc>
        <w:tc>
          <w:tcPr>
            <w:tcW w:w="1133" w:type="dxa"/>
            <w:vMerge w:val="restart"/>
            <w:vAlign w:val="center"/>
          </w:tcPr>
          <w:p>
            <w:pPr>
              <w:jc w:val="center"/>
              <w:rPr>
                <w:rFonts w:ascii="仿宋_GB2312" w:eastAsia="仿宋_GB2312"/>
                <w:b/>
                <w:color w:val="000000" w:themeColor="text1"/>
                <w:szCs w:val="21"/>
              </w:rPr>
            </w:pPr>
            <w:r>
              <w:rPr>
                <w:rFonts w:hint="eastAsia" w:ascii="仿宋_GB2312" w:eastAsia="仿宋_GB2312"/>
                <w:b/>
                <w:color w:val="000000" w:themeColor="text1"/>
                <w:szCs w:val="21"/>
              </w:rPr>
              <w:t>分 值</w:t>
            </w:r>
          </w:p>
        </w:tc>
        <w:tc>
          <w:tcPr>
            <w:tcW w:w="4673" w:type="dxa"/>
            <w:vMerge w:val="restart"/>
            <w:vAlign w:val="center"/>
          </w:tcPr>
          <w:p>
            <w:pPr>
              <w:jc w:val="center"/>
              <w:rPr>
                <w:rFonts w:ascii="仿宋_GB2312" w:eastAsia="仿宋_GB2312"/>
                <w:b/>
                <w:color w:val="000000" w:themeColor="text1"/>
                <w:szCs w:val="21"/>
              </w:rPr>
            </w:pPr>
            <w:r>
              <w:rPr>
                <w:rFonts w:hint="eastAsia" w:ascii="仿宋_GB2312" w:eastAsia="仿宋_GB2312"/>
                <w:b/>
                <w:color w:val="000000" w:themeColor="text1"/>
                <w:szCs w:val="21"/>
              </w:rPr>
              <w:t>评分办法</w:t>
            </w:r>
          </w:p>
        </w:tc>
        <w:tc>
          <w:tcPr>
            <w:tcW w:w="4462" w:type="dxa"/>
            <w:gridSpan w:val="3"/>
            <w:vAlign w:val="center"/>
          </w:tcPr>
          <w:p>
            <w:pPr>
              <w:jc w:val="center"/>
              <w:rPr>
                <w:rFonts w:ascii="仿宋_GB2312" w:eastAsia="仿宋_GB2312"/>
                <w:b/>
                <w:color w:val="000000" w:themeColor="text1"/>
                <w:szCs w:val="21"/>
              </w:rPr>
            </w:pPr>
            <w:r>
              <w:rPr>
                <w:rFonts w:hint="eastAsia" w:ascii="仿宋_GB2312" w:eastAsia="仿宋_GB2312"/>
                <w:b/>
                <w:color w:val="000000" w:themeColor="text1"/>
                <w:szCs w:val="21"/>
              </w:rPr>
              <w:t>企业实际得分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022" w:type="dxa"/>
            <w:vMerge w:val="continue"/>
            <w:tcBorders>
              <w:left w:val="single" w:color="auto" w:sz="4" w:space="0"/>
              <w:right w:val="single" w:color="auto" w:sz="4" w:space="0"/>
            </w:tcBorders>
            <w:vAlign w:val="center"/>
          </w:tcPr>
          <w:p>
            <w:pPr>
              <w:jc w:val="center"/>
              <w:rPr>
                <w:rFonts w:ascii="仿宋_GB2312" w:eastAsia="仿宋_GB2312"/>
                <w:b/>
                <w:color w:val="000000" w:themeColor="text1"/>
                <w:szCs w:val="21"/>
              </w:rPr>
            </w:pPr>
          </w:p>
        </w:tc>
        <w:tc>
          <w:tcPr>
            <w:tcW w:w="2050" w:type="dxa"/>
            <w:vMerge w:val="continue"/>
            <w:tcBorders>
              <w:left w:val="single" w:color="auto" w:sz="4" w:space="0"/>
            </w:tcBorders>
            <w:vAlign w:val="center"/>
          </w:tcPr>
          <w:p>
            <w:pPr>
              <w:jc w:val="center"/>
              <w:rPr>
                <w:rFonts w:ascii="仿宋_GB2312" w:eastAsia="仿宋_GB2312"/>
                <w:b/>
                <w:color w:val="000000" w:themeColor="text1"/>
                <w:szCs w:val="21"/>
              </w:rPr>
            </w:pPr>
          </w:p>
        </w:tc>
        <w:tc>
          <w:tcPr>
            <w:tcW w:w="1133" w:type="dxa"/>
            <w:vMerge w:val="continue"/>
            <w:vAlign w:val="center"/>
          </w:tcPr>
          <w:p>
            <w:pPr>
              <w:ind w:firstLine="211" w:firstLineChars="100"/>
              <w:jc w:val="center"/>
              <w:rPr>
                <w:rFonts w:ascii="仿宋_GB2312" w:eastAsia="仿宋_GB2312"/>
                <w:b/>
                <w:color w:val="000000" w:themeColor="text1"/>
                <w:szCs w:val="21"/>
              </w:rPr>
            </w:pPr>
          </w:p>
        </w:tc>
        <w:tc>
          <w:tcPr>
            <w:tcW w:w="4673" w:type="dxa"/>
            <w:vMerge w:val="continue"/>
            <w:vAlign w:val="center"/>
          </w:tcPr>
          <w:p>
            <w:pPr>
              <w:ind w:firstLine="1033" w:firstLineChars="490"/>
              <w:jc w:val="center"/>
              <w:rPr>
                <w:rFonts w:ascii="仿宋_GB2312" w:eastAsia="仿宋_GB2312"/>
                <w:b/>
                <w:color w:val="000000" w:themeColor="text1"/>
                <w:szCs w:val="21"/>
              </w:rPr>
            </w:pPr>
          </w:p>
        </w:tc>
        <w:tc>
          <w:tcPr>
            <w:tcW w:w="1379" w:type="dxa"/>
            <w:vAlign w:val="center"/>
          </w:tcPr>
          <w:p>
            <w:pPr>
              <w:jc w:val="center"/>
              <w:rPr>
                <w:rFonts w:ascii="仿宋_GB2312" w:eastAsia="仿宋_GB2312"/>
                <w:b/>
                <w:color w:val="000000" w:themeColor="text1"/>
                <w:szCs w:val="21"/>
              </w:rPr>
            </w:pPr>
          </w:p>
        </w:tc>
        <w:tc>
          <w:tcPr>
            <w:tcW w:w="1619" w:type="dxa"/>
            <w:vAlign w:val="center"/>
          </w:tcPr>
          <w:p>
            <w:pPr>
              <w:jc w:val="center"/>
              <w:rPr>
                <w:rFonts w:ascii="仿宋_GB2312" w:eastAsia="仿宋_GB2312"/>
                <w:b/>
                <w:color w:val="000000" w:themeColor="text1"/>
                <w:szCs w:val="21"/>
              </w:rPr>
            </w:pPr>
          </w:p>
        </w:tc>
        <w:tc>
          <w:tcPr>
            <w:tcW w:w="1464" w:type="dxa"/>
            <w:vAlign w:val="center"/>
          </w:tcPr>
          <w:p>
            <w:pPr>
              <w:jc w:val="center"/>
              <w:rPr>
                <w:rFonts w:ascii="仿宋_GB2312" w:eastAsia="仿宋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2022" w:type="dxa"/>
            <w:tcBorders>
              <w:top w:val="single" w:color="auto" w:sz="4" w:space="0"/>
            </w:tcBorders>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企业报价</w:t>
            </w:r>
          </w:p>
        </w:tc>
        <w:tc>
          <w:tcPr>
            <w:tcW w:w="2050" w:type="dxa"/>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控制价9.2万元以内,超出视为废标。</w:t>
            </w:r>
          </w:p>
        </w:tc>
        <w:tc>
          <w:tcPr>
            <w:tcW w:w="1133" w:type="dxa"/>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40分</w:t>
            </w:r>
          </w:p>
        </w:tc>
        <w:tc>
          <w:tcPr>
            <w:tcW w:w="4673" w:type="dxa"/>
          </w:tcPr>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投标价格最低的投标报价为评标基准价，其价格分得分为</w:t>
            </w:r>
            <w:r>
              <w:rPr>
                <w:rFonts w:hint="eastAsia" w:ascii="仿宋" w:hAnsi="仿宋" w:eastAsia="仿宋" w:cs="仿宋"/>
                <w:color w:val="000000" w:themeColor="text1"/>
                <w:sz w:val="18"/>
                <w:szCs w:val="18"/>
                <w:lang w:val="en-US" w:eastAsia="zh-CN"/>
              </w:rPr>
              <w:t>4</w:t>
            </w:r>
            <w:r>
              <w:rPr>
                <w:rFonts w:hint="eastAsia" w:ascii="仿宋" w:hAnsi="仿宋" w:eastAsia="仿宋" w:cs="仿宋"/>
                <w:color w:val="000000" w:themeColor="text1"/>
                <w:sz w:val="18"/>
                <w:szCs w:val="18"/>
              </w:rPr>
              <w:t>0分。其它投标人的价格分统一按照下列公式计算：价格得分=（评标基准价/投标报价）×价格权重×100。</w:t>
            </w:r>
          </w:p>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根据《采购促进中小企业发展暂行办法》（财库[2011]181号）的规定，对小型和微型企业产品的价格给予10%的价格扣除，用扣除后的价格参与评审。</w:t>
            </w:r>
          </w:p>
        </w:tc>
        <w:tc>
          <w:tcPr>
            <w:tcW w:w="1379" w:type="dxa"/>
          </w:tcPr>
          <w:p>
            <w:pPr>
              <w:spacing w:line="200" w:lineRule="exact"/>
              <w:ind w:left="-105" w:leftChars="-50" w:right="-105" w:rightChars="-50"/>
              <w:jc w:val="center"/>
              <w:rPr>
                <w:rFonts w:ascii="仿宋" w:hAnsi="仿宋" w:eastAsia="仿宋" w:cs="仿宋"/>
                <w:color w:val="000000" w:themeColor="text1"/>
                <w:szCs w:val="21"/>
              </w:rPr>
            </w:pPr>
          </w:p>
        </w:tc>
        <w:tc>
          <w:tcPr>
            <w:tcW w:w="1619" w:type="dxa"/>
          </w:tcPr>
          <w:p>
            <w:pPr>
              <w:spacing w:line="200" w:lineRule="exact"/>
              <w:ind w:left="-105" w:leftChars="-50" w:right="-105" w:rightChars="-50"/>
              <w:jc w:val="center"/>
              <w:rPr>
                <w:rFonts w:ascii="仿宋" w:hAnsi="仿宋" w:eastAsia="仿宋" w:cs="仿宋"/>
                <w:color w:val="000000" w:themeColor="text1"/>
                <w:szCs w:val="21"/>
              </w:rPr>
            </w:pPr>
          </w:p>
        </w:tc>
        <w:tc>
          <w:tcPr>
            <w:tcW w:w="1464" w:type="dxa"/>
          </w:tcPr>
          <w:p>
            <w:pPr>
              <w:spacing w:line="200" w:lineRule="exact"/>
              <w:ind w:left="-105" w:leftChars="-50" w:right="-105" w:rightChars="-50"/>
              <w:jc w:val="center"/>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2022" w:type="dxa"/>
            <w:vAlign w:val="center"/>
          </w:tcPr>
          <w:p>
            <w:pPr>
              <w:spacing w:line="200" w:lineRule="exact"/>
              <w:ind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企业综合实力</w:t>
            </w:r>
          </w:p>
        </w:tc>
        <w:tc>
          <w:tcPr>
            <w:tcW w:w="2050" w:type="dxa"/>
            <w:vAlign w:val="center"/>
          </w:tcPr>
          <w:p>
            <w:pPr>
              <w:spacing w:line="200" w:lineRule="exact"/>
              <w:ind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企业资信</w:t>
            </w:r>
          </w:p>
        </w:tc>
        <w:tc>
          <w:tcPr>
            <w:tcW w:w="1133" w:type="dxa"/>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7分</w:t>
            </w:r>
          </w:p>
        </w:tc>
        <w:tc>
          <w:tcPr>
            <w:tcW w:w="4673" w:type="dxa"/>
          </w:tcPr>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1、具有ISO9001质量管理体系认证证书计1分；</w:t>
            </w:r>
          </w:p>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2、具有 ISO14001环境管理体系认证证书计1分；</w:t>
            </w:r>
          </w:p>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3、OHSAS18001职业健康安全管理体系认证证书计1分。</w:t>
            </w:r>
          </w:p>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4、提供投标产品的相关专利及软著证书，一个得</w:t>
            </w:r>
            <w:r>
              <w:rPr>
                <w:rFonts w:ascii="仿宋" w:hAnsi="仿宋" w:eastAsia="仿宋" w:cs="仿宋"/>
                <w:color w:val="000000" w:themeColor="text1"/>
                <w:sz w:val="18"/>
                <w:szCs w:val="18"/>
              </w:rPr>
              <w:t>1</w:t>
            </w:r>
            <w:r>
              <w:rPr>
                <w:rFonts w:hint="eastAsia" w:ascii="仿宋" w:hAnsi="仿宋" w:eastAsia="仿宋" w:cs="仿宋"/>
                <w:color w:val="000000" w:themeColor="text1"/>
                <w:sz w:val="18"/>
                <w:szCs w:val="18"/>
              </w:rPr>
              <w:t>分，最高得4</w:t>
            </w:r>
            <w:r>
              <w:rPr>
                <w:rFonts w:ascii="仿宋" w:hAnsi="仿宋" w:eastAsia="仿宋" w:cs="仿宋"/>
                <w:color w:val="000000" w:themeColor="text1"/>
                <w:sz w:val="18"/>
                <w:szCs w:val="18"/>
              </w:rPr>
              <w:t>分</w:t>
            </w:r>
            <w:r>
              <w:rPr>
                <w:rFonts w:hint="eastAsia" w:ascii="仿宋" w:hAnsi="仿宋" w:eastAsia="仿宋" w:cs="仿宋"/>
                <w:color w:val="000000" w:themeColor="text1"/>
                <w:sz w:val="18"/>
                <w:szCs w:val="18"/>
              </w:rPr>
              <w:t>。</w:t>
            </w:r>
          </w:p>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提供证书复印件并加盖公章，原件备查。</w:t>
            </w:r>
          </w:p>
        </w:tc>
        <w:tc>
          <w:tcPr>
            <w:tcW w:w="1379" w:type="dxa"/>
          </w:tcPr>
          <w:p>
            <w:pPr>
              <w:spacing w:line="200" w:lineRule="exact"/>
              <w:ind w:left="-105" w:leftChars="-50" w:right="-105" w:rightChars="-50"/>
              <w:jc w:val="center"/>
              <w:rPr>
                <w:rFonts w:ascii="仿宋" w:hAnsi="仿宋" w:eastAsia="仿宋" w:cs="仿宋"/>
                <w:color w:val="000000" w:themeColor="text1"/>
                <w:szCs w:val="21"/>
              </w:rPr>
            </w:pPr>
          </w:p>
        </w:tc>
        <w:tc>
          <w:tcPr>
            <w:tcW w:w="1619" w:type="dxa"/>
          </w:tcPr>
          <w:p>
            <w:pPr>
              <w:spacing w:line="200" w:lineRule="exact"/>
              <w:ind w:left="-105" w:leftChars="-50" w:right="-105" w:rightChars="-50"/>
              <w:jc w:val="center"/>
              <w:rPr>
                <w:rFonts w:ascii="仿宋" w:hAnsi="仿宋" w:eastAsia="仿宋" w:cs="仿宋"/>
                <w:color w:val="000000" w:themeColor="text1"/>
                <w:szCs w:val="21"/>
              </w:rPr>
            </w:pPr>
          </w:p>
        </w:tc>
        <w:tc>
          <w:tcPr>
            <w:tcW w:w="1464" w:type="dxa"/>
          </w:tcPr>
          <w:p>
            <w:pPr>
              <w:spacing w:line="200" w:lineRule="exact"/>
              <w:ind w:left="-105" w:leftChars="-50" w:right="-105" w:rightChars="-50"/>
              <w:jc w:val="center"/>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trPr>
        <w:tc>
          <w:tcPr>
            <w:tcW w:w="2022" w:type="dxa"/>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技术部分</w:t>
            </w:r>
          </w:p>
        </w:tc>
        <w:tc>
          <w:tcPr>
            <w:tcW w:w="2050" w:type="dxa"/>
            <w:vAlign w:val="center"/>
          </w:tcPr>
          <w:p>
            <w:pPr>
              <w:spacing w:line="200" w:lineRule="exact"/>
              <w:ind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主要技术指标</w:t>
            </w:r>
          </w:p>
        </w:tc>
        <w:tc>
          <w:tcPr>
            <w:tcW w:w="1133" w:type="dxa"/>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30分</w:t>
            </w:r>
          </w:p>
        </w:tc>
        <w:tc>
          <w:tcPr>
            <w:tcW w:w="4673" w:type="dxa"/>
          </w:tcPr>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1、完全满足招标文件技术要求的得20分，</w:t>
            </w:r>
          </w:p>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带“★”技术参数每正偏离1项加3分，其他技术参数每正偏离1项加1分，最多加10分。带“★”技术参数负偏离则视为废标，其他技术参数每负偏离1项扣3分，扣完为止。</w:t>
            </w:r>
          </w:p>
        </w:tc>
        <w:tc>
          <w:tcPr>
            <w:tcW w:w="1379" w:type="dxa"/>
          </w:tcPr>
          <w:p>
            <w:pPr>
              <w:spacing w:line="200" w:lineRule="exact"/>
              <w:ind w:left="-105" w:leftChars="-50" w:right="-105" w:rightChars="-50"/>
              <w:jc w:val="center"/>
              <w:rPr>
                <w:rFonts w:ascii="仿宋" w:hAnsi="仿宋" w:eastAsia="仿宋" w:cs="仿宋"/>
                <w:color w:val="000000" w:themeColor="text1"/>
                <w:szCs w:val="21"/>
              </w:rPr>
            </w:pPr>
          </w:p>
        </w:tc>
        <w:tc>
          <w:tcPr>
            <w:tcW w:w="1619" w:type="dxa"/>
          </w:tcPr>
          <w:p>
            <w:pPr>
              <w:spacing w:line="200" w:lineRule="exact"/>
              <w:ind w:left="-105" w:leftChars="-50" w:right="-105" w:rightChars="-50"/>
              <w:jc w:val="center"/>
              <w:rPr>
                <w:rFonts w:ascii="仿宋" w:hAnsi="仿宋" w:eastAsia="仿宋" w:cs="仿宋"/>
                <w:color w:val="000000" w:themeColor="text1"/>
                <w:szCs w:val="21"/>
              </w:rPr>
            </w:pPr>
          </w:p>
        </w:tc>
        <w:tc>
          <w:tcPr>
            <w:tcW w:w="1464" w:type="dxa"/>
          </w:tcPr>
          <w:p>
            <w:pPr>
              <w:spacing w:line="200" w:lineRule="exact"/>
              <w:ind w:left="-105" w:leftChars="-50" w:right="-105" w:rightChars="-50"/>
              <w:jc w:val="center"/>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2022" w:type="dxa"/>
            <w:vAlign w:val="center"/>
          </w:tcPr>
          <w:p>
            <w:pPr>
              <w:snapToGrid w:val="0"/>
              <w:jc w:val="center"/>
              <w:rPr>
                <w:rFonts w:ascii="仿宋" w:hAnsi="仿宋" w:eastAsia="仿宋" w:cs="仿宋"/>
                <w:color w:val="000000" w:themeColor="text1"/>
                <w:szCs w:val="21"/>
              </w:rPr>
            </w:pPr>
            <w:r>
              <w:rPr>
                <w:rFonts w:hint="eastAsia" w:ascii="仿宋" w:hAnsi="仿宋" w:eastAsia="仿宋" w:cs="仿宋"/>
                <w:color w:val="000000" w:themeColor="text1"/>
                <w:szCs w:val="21"/>
              </w:rPr>
              <w:t>履约能力</w:t>
            </w:r>
          </w:p>
        </w:tc>
        <w:tc>
          <w:tcPr>
            <w:tcW w:w="2050" w:type="dxa"/>
            <w:vAlign w:val="center"/>
          </w:tcPr>
          <w:p>
            <w:pPr>
              <w:spacing w:line="200" w:lineRule="exact"/>
              <w:ind w:left="-105" w:leftChars="-50" w:right="-105" w:rightChars="-50"/>
              <w:jc w:val="center"/>
              <w:rPr>
                <w:rFonts w:ascii="仿宋" w:hAnsi="仿宋" w:eastAsia="仿宋" w:cs="仿宋"/>
                <w:color w:val="000000" w:themeColor="text1"/>
                <w:szCs w:val="21"/>
              </w:rPr>
            </w:pPr>
          </w:p>
        </w:tc>
        <w:tc>
          <w:tcPr>
            <w:tcW w:w="1133" w:type="dxa"/>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6分</w:t>
            </w:r>
          </w:p>
        </w:tc>
        <w:tc>
          <w:tcPr>
            <w:tcW w:w="4673" w:type="dxa"/>
          </w:tcPr>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1、投标人提供国内语音驱鸟项目合同每一个得0.5分，最高得3分。</w:t>
            </w:r>
          </w:p>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2、投标人提供国内煤气炮驱鸟项目合同每一个得0.5分，最高得3分。</w:t>
            </w:r>
          </w:p>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（须提供合同复印件加盖鲜章，原件备查）</w:t>
            </w:r>
          </w:p>
        </w:tc>
        <w:tc>
          <w:tcPr>
            <w:tcW w:w="1379" w:type="dxa"/>
          </w:tcPr>
          <w:p>
            <w:pPr>
              <w:spacing w:line="200" w:lineRule="exact"/>
              <w:ind w:left="-105" w:leftChars="-50" w:right="-105" w:rightChars="-50"/>
              <w:jc w:val="center"/>
              <w:rPr>
                <w:rFonts w:ascii="仿宋" w:hAnsi="仿宋" w:eastAsia="仿宋" w:cs="仿宋"/>
                <w:color w:val="000000" w:themeColor="text1"/>
                <w:szCs w:val="21"/>
              </w:rPr>
            </w:pPr>
          </w:p>
        </w:tc>
        <w:tc>
          <w:tcPr>
            <w:tcW w:w="1619" w:type="dxa"/>
          </w:tcPr>
          <w:p>
            <w:pPr>
              <w:spacing w:line="200" w:lineRule="exact"/>
              <w:ind w:left="-105" w:leftChars="-50" w:right="-105" w:rightChars="-50"/>
              <w:jc w:val="center"/>
              <w:rPr>
                <w:rFonts w:ascii="仿宋" w:hAnsi="仿宋" w:eastAsia="仿宋" w:cs="仿宋"/>
                <w:color w:val="000000" w:themeColor="text1"/>
                <w:szCs w:val="21"/>
              </w:rPr>
            </w:pPr>
          </w:p>
        </w:tc>
        <w:tc>
          <w:tcPr>
            <w:tcW w:w="1464" w:type="dxa"/>
          </w:tcPr>
          <w:p>
            <w:pPr>
              <w:spacing w:line="200" w:lineRule="exact"/>
              <w:ind w:left="-105" w:leftChars="-50" w:right="-105" w:rightChars="-50"/>
              <w:jc w:val="center"/>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2022" w:type="dxa"/>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售后服务</w:t>
            </w:r>
          </w:p>
        </w:tc>
        <w:tc>
          <w:tcPr>
            <w:tcW w:w="2050" w:type="dxa"/>
            <w:vAlign w:val="center"/>
          </w:tcPr>
          <w:p>
            <w:pPr>
              <w:spacing w:line="200" w:lineRule="exact"/>
              <w:ind w:left="-105" w:leftChars="-50" w:right="-105" w:rightChars="-50"/>
              <w:jc w:val="center"/>
              <w:rPr>
                <w:rFonts w:ascii="仿宋" w:hAnsi="仿宋" w:eastAsia="仿宋" w:cs="仿宋"/>
                <w:color w:val="000000" w:themeColor="text1"/>
                <w:szCs w:val="21"/>
              </w:rPr>
            </w:pPr>
          </w:p>
        </w:tc>
        <w:tc>
          <w:tcPr>
            <w:tcW w:w="1133" w:type="dxa"/>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15分</w:t>
            </w:r>
          </w:p>
        </w:tc>
        <w:tc>
          <w:tcPr>
            <w:tcW w:w="4673" w:type="dxa"/>
          </w:tcPr>
          <w:p>
            <w:pPr>
              <w:spacing w:line="200" w:lineRule="exact"/>
              <w:ind w:left="-105" w:leftChars="-50" w:right="-105" w:rightChars="-50"/>
              <w:jc w:val="left"/>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售后响应在满足磋商文件要求的基础上，根据设备的交货时间、质保措施以及售后服务方案等方面综合打分，优秀得15分，良得10分，一般得5分，名次可并列。</w:t>
            </w:r>
          </w:p>
        </w:tc>
        <w:tc>
          <w:tcPr>
            <w:tcW w:w="1379" w:type="dxa"/>
          </w:tcPr>
          <w:p>
            <w:pPr>
              <w:spacing w:line="200" w:lineRule="exact"/>
              <w:ind w:left="-105" w:leftChars="-50" w:right="-105" w:rightChars="-50"/>
              <w:jc w:val="center"/>
              <w:rPr>
                <w:rFonts w:ascii="仿宋" w:hAnsi="仿宋" w:eastAsia="仿宋" w:cs="仿宋"/>
                <w:color w:val="000000" w:themeColor="text1"/>
                <w:szCs w:val="21"/>
              </w:rPr>
            </w:pPr>
          </w:p>
        </w:tc>
        <w:tc>
          <w:tcPr>
            <w:tcW w:w="1619" w:type="dxa"/>
          </w:tcPr>
          <w:p>
            <w:pPr>
              <w:spacing w:line="200" w:lineRule="exact"/>
              <w:ind w:left="-105" w:leftChars="-50" w:right="-105" w:rightChars="-50"/>
              <w:jc w:val="center"/>
              <w:rPr>
                <w:rFonts w:ascii="仿宋" w:hAnsi="仿宋" w:eastAsia="仿宋" w:cs="仿宋"/>
                <w:color w:val="000000" w:themeColor="text1"/>
                <w:szCs w:val="21"/>
              </w:rPr>
            </w:pPr>
          </w:p>
        </w:tc>
        <w:tc>
          <w:tcPr>
            <w:tcW w:w="1464" w:type="dxa"/>
          </w:tcPr>
          <w:p>
            <w:pPr>
              <w:spacing w:line="200" w:lineRule="exact"/>
              <w:ind w:left="-105" w:leftChars="-50" w:right="-105" w:rightChars="-50"/>
              <w:jc w:val="center"/>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022" w:type="dxa"/>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响应文件的规范性</w:t>
            </w:r>
          </w:p>
        </w:tc>
        <w:tc>
          <w:tcPr>
            <w:tcW w:w="2050" w:type="dxa"/>
            <w:vAlign w:val="center"/>
          </w:tcPr>
          <w:p>
            <w:pPr>
              <w:spacing w:line="200" w:lineRule="exact"/>
              <w:ind w:left="-105" w:leftChars="-50" w:right="-105" w:rightChars="-50"/>
              <w:jc w:val="center"/>
              <w:rPr>
                <w:rFonts w:ascii="仿宋" w:hAnsi="仿宋" w:eastAsia="仿宋" w:cs="仿宋"/>
                <w:color w:val="000000" w:themeColor="text1"/>
                <w:szCs w:val="21"/>
              </w:rPr>
            </w:pPr>
          </w:p>
        </w:tc>
        <w:tc>
          <w:tcPr>
            <w:tcW w:w="1133" w:type="dxa"/>
            <w:vAlign w:val="center"/>
          </w:tcPr>
          <w:p>
            <w:pPr>
              <w:spacing w:line="200" w:lineRule="exact"/>
              <w:ind w:left="-105" w:leftChars="-50" w:right="-105" w:rightChars="-50"/>
              <w:jc w:val="center"/>
              <w:rPr>
                <w:rFonts w:ascii="仿宋" w:hAnsi="仿宋" w:eastAsia="仿宋" w:cs="仿宋"/>
                <w:color w:val="000000" w:themeColor="text1"/>
                <w:szCs w:val="21"/>
              </w:rPr>
            </w:pPr>
            <w:r>
              <w:rPr>
                <w:rFonts w:hint="eastAsia" w:ascii="仿宋" w:hAnsi="仿宋" w:eastAsia="仿宋" w:cs="仿宋"/>
                <w:color w:val="000000" w:themeColor="text1"/>
                <w:szCs w:val="21"/>
              </w:rPr>
              <w:t>2分</w:t>
            </w:r>
          </w:p>
        </w:tc>
        <w:tc>
          <w:tcPr>
            <w:tcW w:w="4673" w:type="dxa"/>
          </w:tcPr>
          <w:p>
            <w:pPr>
              <w:spacing w:line="200" w:lineRule="exact"/>
              <w:ind w:left="-105" w:leftChars="-50" w:right="-105" w:rightChars="-50"/>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响应文件制作规范，没有细微偏差情形的得2分；有一项细微偏差扣0.5分，直到扣完为止。</w:t>
            </w:r>
          </w:p>
        </w:tc>
        <w:tc>
          <w:tcPr>
            <w:tcW w:w="1379" w:type="dxa"/>
          </w:tcPr>
          <w:p>
            <w:pPr>
              <w:spacing w:line="200" w:lineRule="exact"/>
              <w:ind w:left="-105" w:leftChars="-50" w:right="-105" w:rightChars="-50"/>
              <w:jc w:val="center"/>
              <w:rPr>
                <w:rFonts w:ascii="仿宋" w:hAnsi="仿宋" w:eastAsia="仿宋" w:cs="仿宋"/>
                <w:color w:val="000000" w:themeColor="text1"/>
                <w:szCs w:val="21"/>
              </w:rPr>
            </w:pPr>
          </w:p>
        </w:tc>
        <w:tc>
          <w:tcPr>
            <w:tcW w:w="1619" w:type="dxa"/>
          </w:tcPr>
          <w:p>
            <w:pPr>
              <w:spacing w:line="200" w:lineRule="exact"/>
              <w:ind w:left="-105" w:leftChars="-50" w:right="-105" w:rightChars="-50"/>
              <w:jc w:val="center"/>
              <w:rPr>
                <w:rFonts w:ascii="仿宋" w:hAnsi="仿宋" w:eastAsia="仿宋" w:cs="仿宋"/>
                <w:color w:val="000000" w:themeColor="text1"/>
                <w:szCs w:val="21"/>
              </w:rPr>
            </w:pPr>
          </w:p>
        </w:tc>
        <w:tc>
          <w:tcPr>
            <w:tcW w:w="1464" w:type="dxa"/>
          </w:tcPr>
          <w:p>
            <w:pPr>
              <w:spacing w:line="200" w:lineRule="exact"/>
              <w:ind w:left="-105" w:leftChars="-50" w:right="-105" w:rightChars="-50"/>
              <w:jc w:val="center"/>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9878" w:type="dxa"/>
            <w:gridSpan w:val="4"/>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合计得分</w:t>
            </w:r>
          </w:p>
        </w:tc>
        <w:tc>
          <w:tcPr>
            <w:tcW w:w="1379" w:type="dxa"/>
          </w:tcPr>
          <w:p>
            <w:pPr>
              <w:jc w:val="center"/>
              <w:rPr>
                <w:rFonts w:ascii="仿宋" w:hAnsi="仿宋" w:eastAsia="仿宋" w:cs="仿宋"/>
                <w:color w:val="000000" w:themeColor="text1"/>
                <w:szCs w:val="21"/>
              </w:rPr>
            </w:pPr>
          </w:p>
        </w:tc>
        <w:tc>
          <w:tcPr>
            <w:tcW w:w="1619" w:type="dxa"/>
          </w:tcPr>
          <w:p>
            <w:pPr>
              <w:jc w:val="center"/>
              <w:rPr>
                <w:rFonts w:ascii="仿宋" w:hAnsi="仿宋" w:eastAsia="仿宋" w:cs="仿宋"/>
                <w:color w:val="000000" w:themeColor="text1"/>
                <w:szCs w:val="21"/>
              </w:rPr>
            </w:pPr>
          </w:p>
        </w:tc>
        <w:tc>
          <w:tcPr>
            <w:tcW w:w="1464" w:type="dxa"/>
          </w:tcPr>
          <w:p>
            <w:pPr>
              <w:jc w:val="center"/>
              <w:rPr>
                <w:rFonts w:ascii="仿宋" w:hAnsi="仿宋" w:eastAsia="仿宋" w:cs="仿宋"/>
                <w:color w:val="000000" w:themeColor="text1"/>
                <w:szCs w:val="21"/>
              </w:rPr>
            </w:pPr>
          </w:p>
        </w:tc>
      </w:tr>
    </w:tbl>
    <w:p>
      <w:pPr>
        <w:rPr>
          <w:rFonts w:ascii="仿宋" w:hAnsi="仿宋" w:eastAsia="仿宋" w:cs="仿宋"/>
          <w:sz w:val="30"/>
          <w:szCs w:val="30"/>
        </w:rPr>
      </w:pPr>
    </w:p>
    <w:sectPr>
      <w:headerReference r:id="rId4" w:type="default"/>
      <w:footerReference r:id="rId5" w:type="default"/>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5807"/>
    <w:rsid w:val="00025807"/>
    <w:rsid w:val="002549A3"/>
    <w:rsid w:val="002F6668"/>
    <w:rsid w:val="00422307"/>
    <w:rsid w:val="00490F05"/>
    <w:rsid w:val="004933F0"/>
    <w:rsid w:val="006D10DD"/>
    <w:rsid w:val="007104D8"/>
    <w:rsid w:val="00885928"/>
    <w:rsid w:val="008F62BD"/>
    <w:rsid w:val="009170DA"/>
    <w:rsid w:val="0095588A"/>
    <w:rsid w:val="00957D61"/>
    <w:rsid w:val="00A42322"/>
    <w:rsid w:val="00B34933"/>
    <w:rsid w:val="00C02991"/>
    <w:rsid w:val="00EF4BD7"/>
    <w:rsid w:val="01741FEC"/>
    <w:rsid w:val="023A7C67"/>
    <w:rsid w:val="03B70A6F"/>
    <w:rsid w:val="05A34D62"/>
    <w:rsid w:val="08270662"/>
    <w:rsid w:val="0AD61EDB"/>
    <w:rsid w:val="10454479"/>
    <w:rsid w:val="11425C4A"/>
    <w:rsid w:val="18866A42"/>
    <w:rsid w:val="19172372"/>
    <w:rsid w:val="1CAA7FEE"/>
    <w:rsid w:val="20211E78"/>
    <w:rsid w:val="21895509"/>
    <w:rsid w:val="28761345"/>
    <w:rsid w:val="2CA03F99"/>
    <w:rsid w:val="2D442ACC"/>
    <w:rsid w:val="3164262C"/>
    <w:rsid w:val="327F68A5"/>
    <w:rsid w:val="3A9C3C0E"/>
    <w:rsid w:val="3A9F5CCB"/>
    <w:rsid w:val="3DC46D1A"/>
    <w:rsid w:val="41991E97"/>
    <w:rsid w:val="422902FF"/>
    <w:rsid w:val="4DA3262E"/>
    <w:rsid w:val="511D70BB"/>
    <w:rsid w:val="54AC24D2"/>
    <w:rsid w:val="5703264E"/>
    <w:rsid w:val="5AA05A19"/>
    <w:rsid w:val="5FA05D79"/>
    <w:rsid w:val="6384427C"/>
    <w:rsid w:val="6852197D"/>
    <w:rsid w:val="6A413CC4"/>
    <w:rsid w:val="6A7A5CF8"/>
    <w:rsid w:val="6B965D27"/>
    <w:rsid w:val="767B210D"/>
    <w:rsid w:val="776522DB"/>
    <w:rsid w:val="78A70FBF"/>
    <w:rsid w:val="7CD60B29"/>
    <w:rsid w:val="7D1D68F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977</Words>
  <Characters>5572</Characters>
  <Lines>46</Lines>
  <Paragraphs>13</Paragraphs>
  <ScaleCrop>false</ScaleCrop>
  <LinksUpToDate>false</LinksUpToDate>
  <CharactersWithSpaces>6536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2018-05-16T06:43:00Z</dcterms:created>
  <dc:creator>admin</dc:creator>
  <cp:lastModifiedBy>admin</cp:lastModifiedBy>
  <cp:lastPrinted>2020-03-16T08:40:00Z</cp:lastPrinted>
  <dcterms:modified xsi:type="dcterms:W3CDTF">2020-03-17T08:54:12Z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