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b/>
          <w:bCs/>
          <w:sz w:val="24"/>
          <w:szCs w:val="32"/>
        </w:rPr>
      </w:pPr>
      <w:r>
        <w:rPr>
          <w:rFonts w:hint="eastAsia" w:ascii="仿宋" w:hAnsi="仿宋" w:eastAsia="仿宋"/>
          <w:b/>
          <w:bCs/>
          <w:sz w:val="24"/>
          <w:szCs w:val="32"/>
        </w:rPr>
        <w:t>附件1</w:t>
      </w:r>
    </w:p>
    <w:p>
      <w:pPr>
        <w:spacing w:line="360" w:lineRule="exact"/>
        <w:jc w:val="center"/>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 xml:space="preserve">        </w:t>
      </w:r>
      <w:r>
        <w:rPr>
          <w:rFonts w:hint="eastAsia" w:ascii="仿宋" w:hAnsi="仿宋" w:eastAsia="仿宋" w:cs="Times New Roman"/>
          <w:b/>
          <w:color w:val="000000"/>
          <w:sz w:val="28"/>
          <w:szCs w:val="28"/>
          <w:lang w:eastAsia="zh-CN"/>
        </w:rPr>
        <w:t>技术标准和要求</w:t>
      </w:r>
    </w:p>
    <w:p>
      <w:pPr>
        <w:spacing w:line="360" w:lineRule="exact"/>
        <w:jc w:val="center"/>
        <w:rPr>
          <w:rFonts w:hint="eastAsia" w:ascii="仿宋" w:hAnsi="仿宋" w:eastAsia="仿宋" w:cs="Times New Roman"/>
          <w:b/>
          <w:color w:val="000000"/>
          <w:sz w:val="28"/>
          <w:szCs w:val="28"/>
          <w:lang w:eastAsia="zh-CN"/>
        </w:rPr>
      </w:pPr>
    </w:p>
    <w:tbl>
      <w:tblPr>
        <w:tblStyle w:val="6"/>
        <w:tblW w:w="9224"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895"/>
        <w:gridCol w:w="6329"/>
      </w:tblGrid>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2895" w:type="dxa"/>
            <w:noWrap w:val="0"/>
            <w:vAlign w:val="center"/>
          </w:tcPr>
          <w:p>
            <w:pPr>
              <w:pStyle w:val="5"/>
              <w:spacing w:before="137"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项目名称</w:t>
            </w:r>
          </w:p>
        </w:tc>
        <w:tc>
          <w:tcPr>
            <w:tcW w:w="6329" w:type="dxa"/>
            <w:noWrap w:val="0"/>
            <w:vAlign w:val="center"/>
          </w:tcPr>
          <w:p>
            <w:pPr>
              <w:pStyle w:val="5"/>
              <w:spacing w:before="138" w:line="219" w:lineRule="auto"/>
              <w:ind w:left="114"/>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太阳能灭蚊灯</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443" w:hRule="atLeast"/>
        </w:trPr>
        <w:tc>
          <w:tcPr>
            <w:tcW w:w="2895" w:type="dxa"/>
            <w:noWrap w:val="0"/>
            <w:vAlign w:val="center"/>
          </w:tcPr>
          <w:p>
            <w:pPr>
              <w:pStyle w:val="5"/>
              <w:spacing w:before="78" w:line="220" w:lineRule="auto"/>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技术标准</w:t>
            </w:r>
          </w:p>
        </w:tc>
        <w:tc>
          <w:tcPr>
            <w:tcW w:w="6329" w:type="dxa"/>
            <w:noWrap w:val="0"/>
            <w:vAlign w:val="center"/>
          </w:tcPr>
          <w:p>
            <w:pPr>
              <w:pStyle w:val="2"/>
              <w:spacing w:before="69" w:line="219" w:lineRule="auto"/>
              <w:outlineLvl w:val="0"/>
            </w:pPr>
            <w:r>
              <w:rPr>
                <w:spacing w:val="-7"/>
              </w:rPr>
              <w:t>1.符合</w:t>
            </w:r>
            <w:r>
              <w:rPr>
                <w:spacing w:val="-40"/>
              </w:rPr>
              <w:t xml:space="preserve"> </w:t>
            </w:r>
            <w:r>
              <w:rPr>
                <w:b/>
                <w:bCs/>
                <w:spacing w:val="-7"/>
              </w:rPr>
              <w:t>GB/T24689.2-2017、GB/T</w:t>
            </w:r>
            <w:r>
              <w:rPr>
                <w:spacing w:val="-7"/>
              </w:rPr>
              <w:t xml:space="preserve"> </w:t>
            </w:r>
            <w:r>
              <w:rPr>
                <w:b/>
                <w:bCs/>
                <w:spacing w:val="-7"/>
              </w:rPr>
              <w:t>19064</w:t>
            </w:r>
            <w:r>
              <w:rPr>
                <w:b/>
                <w:bCs/>
                <w:spacing w:val="-8"/>
              </w:rPr>
              <w:t>-2003</w:t>
            </w:r>
          </w:p>
          <w:p>
            <w:pPr>
              <w:spacing w:line="250" w:lineRule="auto"/>
              <w:rPr>
                <w:rFonts w:ascii="Arial"/>
                <w:sz w:val="21"/>
              </w:rPr>
            </w:pPr>
          </w:p>
          <w:p>
            <w:pPr>
              <w:pStyle w:val="2"/>
              <w:spacing w:before="68" w:line="587" w:lineRule="exact"/>
            </w:pPr>
            <w:r>
              <w:rPr>
                <w:spacing w:val="-5"/>
                <w:position w:val="29"/>
              </w:rPr>
              <w:t>2.接虫方式：旋转式卡扣专用接虫盒，采用透明优质</w:t>
            </w:r>
            <w:r>
              <w:rPr>
                <w:spacing w:val="-42"/>
                <w:position w:val="29"/>
              </w:rPr>
              <w:t xml:space="preserve"> </w:t>
            </w:r>
            <w:r>
              <w:rPr>
                <w:rFonts w:ascii="Times New Roman" w:hAnsi="Times New Roman" w:eastAsia="Times New Roman" w:cs="Times New Roman"/>
                <w:b/>
                <w:bCs/>
                <w:spacing w:val="-5"/>
                <w:position w:val="29"/>
              </w:rPr>
              <w:t>PP</w:t>
            </w:r>
            <w:r>
              <w:rPr>
                <w:rFonts w:ascii="Times New Roman" w:hAnsi="Times New Roman" w:eastAsia="Times New Roman" w:cs="Times New Roman"/>
                <w:b/>
                <w:bCs/>
                <w:spacing w:val="-18"/>
                <w:position w:val="29"/>
              </w:rPr>
              <w:t xml:space="preserve"> </w:t>
            </w:r>
            <w:r>
              <w:rPr>
                <w:spacing w:val="-5"/>
                <w:position w:val="29"/>
              </w:rPr>
              <w:t>材质防水防飞；</w:t>
            </w:r>
          </w:p>
          <w:p>
            <w:pPr>
              <w:pStyle w:val="2"/>
              <w:spacing w:line="216" w:lineRule="auto"/>
            </w:pPr>
            <w:r>
              <w:rPr>
                <w:spacing w:val="-3"/>
              </w:rPr>
              <w:t>3.太阳能电池板：功率40W,</w:t>
            </w:r>
            <w:r>
              <w:rPr>
                <w:spacing w:val="66"/>
              </w:rPr>
              <w:t xml:space="preserve"> </w:t>
            </w:r>
            <w:r>
              <w:rPr>
                <w:spacing w:val="-3"/>
              </w:rPr>
              <w:t>灯头内置专</w:t>
            </w:r>
            <w:r>
              <w:rPr>
                <w:spacing w:val="-4"/>
              </w:rPr>
              <w:t>用锂电池：</w:t>
            </w:r>
            <w:r>
              <w:rPr>
                <w:spacing w:val="-22"/>
              </w:rPr>
              <w:t xml:space="preserve"> </w:t>
            </w:r>
            <w:r>
              <w:rPr>
                <w:b/>
                <w:bCs/>
                <w:spacing w:val="-4"/>
              </w:rPr>
              <w:t>12V/12Ah;</w:t>
            </w:r>
          </w:p>
          <w:p>
            <w:pPr>
              <w:spacing w:line="247" w:lineRule="auto"/>
              <w:rPr>
                <w:rFonts w:ascii="Arial"/>
                <w:sz w:val="21"/>
              </w:rPr>
            </w:pPr>
          </w:p>
          <w:p>
            <w:pPr>
              <w:pStyle w:val="2"/>
              <w:spacing w:before="68" w:line="219" w:lineRule="auto"/>
            </w:pPr>
            <w:r>
              <w:rPr>
                <w:rFonts w:hint="eastAsia"/>
                <w:spacing w:val="-4"/>
                <w:lang w:val="en-US" w:eastAsia="zh-CN"/>
              </w:rPr>
              <w:t>4</w:t>
            </w:r>
            <w:r>
              <w:rPr>
                <w:spacing w:val="-4"/>
              </w:rPr>
              <w:t>.整灯功率：10W;;</w:t>
            </w:r>
          </w:p>
          <w:p>
            <w:pPr>
              <w:spacing w:line="251" w:lineRule="auto"/>
              <w:rPr>
                <w:rFonts w:ascii="Arial"/>
                <w:sz w:val="21"/>
              </w:rPr>
            </w:pPr>
          </w:p>
          <w:p>
            <w:pPr>
              <w:pStyle w:val="2"/>
              <w:spacing w:before="69" w:line="220" w:lineRule="auto"/>
            </w:pPr>
            <w:r>
              <w:rPr>
                <w:rFonts w:hint="eastAsia"/>
                <w:spacing w:val="-8"/>
                <w:lang w:val="en-US" w:eastAsia="zh-CN"/>
              </w:rPr>
              <w:t>5</w:t>
            </w:r>
            <w:r>
              <w:rPr>
                <w:spacing w:val="-8"/>
              </w:rPr>
              <w:t>.控制器：具有一体化控制器；</w:t>
            </w:r>
          </w:p>
          <w:p>
            <w:pPr>
              <w:spacing w:line="269" w:lineRule="auto"/>
              <w:rPr>
                <w:rFonts w:ascii="Arial"/>
                <w:sz w:val="21"/>
              </w:rPr>
            </w:pPr>
          </w:p>
          <w:p>
            <w:pPr>
              <w:pStyle w:val="2"/>
              <w:spacing w:before="68" w:line="569" w:lineRule="exact"/>
              <w:rPr>
                <w:rFonts w:hint="eastAsia" w:eastAsiaTheme="minorEastAsia"/>
                <w:lang w:val="en-US" w:eastAsia="zh-CN"/>
              </w:rPr>
            </w:pPr>
            <w:r>
              <w:rPr>
                <w:rFonts w:hint="eastAsia"/>
                <w:spacing w:val="-2"/>
                <w:position w:val="27"/>
                <w:lang w:val="en-US" w:eastAsia="zh-CN"/>
              </w:rPr>
              <w:t>6</w:t>
            </w:r>
            <w:r>
              <w:rPr>
                <w:spacing w:val="-2"/>
                <w:position w:val="27"/>
              </w:rPr>
              <w:t>.诱集光源波长：365nm±5nm、400nm±5nm、420nm±5nm、440nm±5nm、545nm±</w:t>
            </w:r>
            <w:r>
              <w:rPr>
                <w:spacing w:val="-3"/>
                <w:position w:val="27"/>
              </w:rPr>
              <w:t>5nm</w:t>
            </w:r>
            <w:r>
              <w:rPr>
                <w:rFonts w:hint="eastAsia"/>
                <w:spacing w:val="-3"/>
                <w:position w:val="27"/>
                <w:lang w:eastAsia="zh-CN"/>
              </w:rPr>
              <w:t>、</w:t>
            </w:r>
            <w:r>
              <w:rPr>
                <w:rFonts w:hint="eastAsia"/>
                <w:spacing w:val="-3"/>
                <w:position w:val="27"/>
                <w:lang w:val="en-US" w:eastAsia="zh-CN"/>
              </w:rPr>
              <w:t>575nm</w:t>
            </w:r>
            <w:r>
              <w:rPr>
                <w:spacing w:val="-2"/>
                <w:position w:val="27"/>
              </w:rPr>
              <w:t>±</w:t>
            </w:r>
            <w:r>
              <w:rPr>
                <w:spacing w:val="-3"/>
                <w:position w:val="27"/>
              </w:rPr>
              <w:t>5nm</w:t>
            </w:r>
            <w:r>
              <w:rPr>
                <w:rFonts w:hint="eastAsia"/>
                <w:spacing w:val="-3"/>
                <w:position w:val="27"/>
                <w:lang w:val="en-US" w:eastAsia="zh-CN"/>
              </w:rPr>
              <w:t>.</w:t>
            </w:r>
          </w:p>
          <w:p>
            <w:pPr>
              <w:pStyle w:val="2"/>
              <w:spacing w:before="305" w:line="219" w:lineRule="auto"/>
            </w:pPr>
            <w:r>
              <w:rPr>
                <w:rFonts w:hint="eastAsia"/>
                <w:spacing w:val="-1"/>
                <w:lang w:val="en-US" w:eastAsia="zh-CN"/>
              </w:rPr>
              <w:t>7</w:t>
            </w:r>
            <w:r>
              <w:rPr>
                <w:spacing w:val="-1"/>
              </w:rPr>
              <w:t>.灭虫方式：光波共振诱虫、高压电网灭虫，昆虫捕捉率≥97%;</w:t>
            </w:r>
          </w:p>
          <w:p>
            <w:pPr>
              <w:spacing w:line="260" w:lineRule="auto"/>
              <w:rPr>
                <w:rFonts w:ascii="Arial"/>
                <w:sz w:val="21"/>
              </w:rPr>
            </w:pPr>
          </w:p>
          <w:p>
            <w:pPr>
              <w:pStyle w:val="2"/>
              <w:spacing w:before="68" w:line="570" w:lineRule="exact"/>
            </w:pPr>
            <w:r>
              <w:rPr>
                <w:rFonts w:hint="eastAsia"/>
                <w:spacing w:val="-3"/>
                <w:position w:val="28"/>
                <w:lang w:val="en-US" w:eastAsia="zh-CN"/>
              </w:rPr>
              <w:t>8</w:t>
            </w:r>
            <w:r>
              <w:rPr>
                <w:spacing w:val="-3"/>
                <w:position w:val="28"/>
              </w:rPr>
              <w:t>.欠压断开和恢复功能：电池电压降到过放点，控制器能自动切断负载，电池电压回升到充</w:t>
            </w:r>
          </w:p>
          <w:p>
            <w:pPr>
              <w:pStyle w:val="2"/>
              <w:spacing w:line="218" w:lineRule="auto"/>
            </w:pPr>
            <w:r>
              <w:rPr>
                <w:spacing w:val="-3"/>
              </w:rPr>
              <w:t>电恢复点时，控制器应能自动或手动恢复对负载的供电。</w:t>
            </w:r>
          </w:p>
          <w:p>
            <w:pPr>
              <w:spacing w:line="252" w:lineRule="auto"/>
              <w:rPr>
                <w:rFonts w:ascii="Arial"/>
                <w:sz w:val="21"/>
              </w:rPr>
            </w:pPr>
          </w:p>
          <w:p>
            <w:pPr>
              <w:pStyle w:val="2"/>
              <w:spacing w:before="69" w:line="589" w:lineRule="exact"/>
            </w:pPr>
            <w:r>
              <w:rPr>
                <w:rFonts w:hint="eastAsia"/>
                <w:spacing w:val="-4"/>
                <w:position w:val="29"/>
                <w:lang w:val="en-US" w:eastAsia="zh-CN"/>
              </w:rPr>
              <w:t>9</w:t>
            </w:r>
            <w:r>
              <w:rPr>
                <w:spacing w:val="-4"/>
                <w:position w:val="29"/>
              </w:rPr>
              <w:t>.高湿度：在相对湿度不大于98%</w:t>
            </w:r>
            <w:r>
              <w:rPr>
                <w:rFonts w:ascii="Times New Roman" w:hAnsi="Times New Roman" w:eastAsia="Times New Roman" w:cs="Times New Roman"/>
                <w:spacing w:val="-4"/>
                <w:position w:val="29"/>
              </w:rPr>
              <w:t xml:space="preserve">RH </w:t>
            </w:r>
            <w:r>
              <w:rPr>
                <w:spacing w:val="-4"/>
                <w:position w:val="29"/>
              </w:rPr>
              <w:t>的环境下，杀虫灯能正常工作；;</w:t>
            </w:r>
          </w:p>
          <w:p>
            <w:pPr>
              <w:pStyle w:val="2"/>
              <w:spacing w:before="1" w:line="218" w:lineRule="auto"/>
            </w:pPr>
            <w:r>
              <w:rPr>
                <w:spacing w:val="-6"/>
              </w:rPr>
              <w:t>1</w:t>
            </w:r>
            <w:r>
              <w:rPr>
                <w:rFonts w:hint="eastAsia"/>
                <w:spacing w:val="-6"/>
                <w:lang w:val="en-US" w:eastAsia="zh-CN"/>
              </w:rPr>
              <w:t>0</w:t>
            </w:r>
            <w:r>
              <w:rPr>
                <w:spacing w:val="-6"/>
              </w:rPr>
              <w:t>.升压器保护：升压器有保护措施，在工作环境中无击穿、烧毁现象；;</w:t>
            </w:r>
          </w:p>
          <w:p>
            <w:pPr>
              <w:spacing w:line="241" w:lineRule="auto"/>
              <w:rPr>
                <w:rFonts w:ascii="Arial"/>
                <w:sz w:val="21"/>
              </w:rPr>
            </w:pPr>
          </w:p>
          <w:p>
            <w:pPr>
              <w:pStyle w:val="2"/>
              <w:spacing w:before="68" w:line="219" w:lineRule="auto"/>
            </w:pPr>
            <w:r>
              <w:rPr>
                <w:spacing w:val="-4"/>
              </w:rPr>
              <w:t>1</w:t>
            </w:r>
            <w:r>
              <w:rPr>
                <w:rFonts w:hint="eastAsia"/>
                <w:spacing w:val="-4"/>
                <w:lang w:val="en-US" w:eastAsia="zh-CN"/>
              </w:rPr>
              <w:t>1</w:t>
            </w:r>
            <w:r>
              <w:rPr>
                <w:spacing w:val="-4"/>
              </w:rPr>
              <w:t>.高压网防护：杀虫灯内部高压电网连接线路采用环氧树脂密封；</w:t>
            </w:r>
          </w:p>
          <w:p>
            <w:pPr>
              <w:spacing w:line="271" w:lineRule="auto"/>
              <w:rPr>
                <w:rFonts w:ascii="Arial"/>
                <w:sz w:val="21"/>
              </w:rPr>
            </w:pPr>
          </w:p>
          <w:p>
            <w:pPr>
              <w:pStyle w:val="2"/>
              <w:numPr>
                <w:ilvl w:val="0"/>
                <w:numId w:val="1"/>
              </w:numPr>
              <w:spacing w:before="69" w:line="570" w:lineRule="exact"/>
              <w:rPr>
                <w:rFonts w:hint="eastAsia"/>
                <w:spacing w:val="-1"/>
                <w:position w:val="28"/>
                <w:lang w:val="en-US" w:eastAsia="zh-CN"/>
              </w:rPr>
            </w:pPr>
            <w:r>
              <w:rPr>
                <w:position w:val="28"/>
              </w:rPr>
              <w:t>电线防护：杀虫灯灯管电线采用中空螺丝走线方</w:t>
            </w:r>
            <w:r>
              <w:rPr>
                <w:spacing w:val="-1"/>
                <w:position w:val="28"/>
              </w:rPr>
              <w:t>式，通过铝管到达高压网底部，防止</w:t>
            </w:r>
            <w:r>
              <w:rPr>
                <w:rFonts w:hint="eastAsia"/>
                <w:spacing w:val="-1"/>
                <w:position w:val="28"/>
                <w:lang w:val="en-US" w:eastAsia="zh-CN"/>
              </w:rPr>
              <w:t>高压干扰。</w:t>
            </w:r>
          </w:p>
          <w:p>
            <w:pPr>
              <w:pStyle w:val="2"/>
              <w:numPr>
                <w:ilvl w:val="0"/>
                <w:numId w:val="1"/>
              </w:numPr>
              <w:spacing w:before="69" w:line="570" w:lineRule="exact"/>
              <w:rPr>
                <w:rFonts w:hint="default"/>
                <w:spacing w:val="-1"/>
                <w:position w:val="28"/>
                <w:lang w:val="en-US" w:eastAsia="zh-CN"/>
              </w:rPr>
            </w:pPr>
            <w:r>
              <w:rPr>
                <w:rFonts w:hint="eastAsia"/>
                <w:b/>
                <w:bCs/>
                <w:spacing w:val="-1"/>
                <w:position w:val="28"/>
                <w:lang w:val="en-US" w:eastAsia="zh-CN"/>
              </w:rPr>
              <w:t>采购数量10盏</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895" w:type="dxa"/>
            <w:tcBorders>
              <w:bottom w:val="single" w:color="auto" w:sz="4" w:space="0"/>
            </w:tcBorders>
            <w:noWrap w:val="0"/>
            <w:vAlign w:val="center"/>
          </w:tcPr>
          <w:p>
            <w:pPr>
              <w:pStyle w:val="5"/>
              <w:spacing w:before="136"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其他要求</w:t>
            </w:r>
          </w:p>
        </w:tc>
        <w:tc>
          <w:tcPr>
            <w:tcW w:w="6329" w:type="dxa"/>
            <w:tcBorders>
              <w:bottom w:val="single" w:color="auto" w:sz="4" w:space="0"/>
            </w:tcBorders>
            <w:noWrap w:val="0"/>
            <w:vAlign w:val="center"/>
          </w:tcPr>
          <w:p>
            <w:pPr>
              <w:pStyle w:val="5"/>
              <w:spacing w:before="137" w:line="219" w:lineRule="auto"/>
              <w:ind w:left="113"/>
              <w:jc w:val="center"/>
              <w:rPr>
                <w:rFonts w:hint="default" w:ascii="仿宋" w:hAnsi="仿宋" w:eastAsia="宋体" w:cs="Times New Roman"/>
                <w:kern w:val="2"/>
                <w:sz w:val="24"/>
                <w:szCs w:val="28"/>
                <w:lang w:val="en-US" w:eastAsia="zh-CN" w:bidi="ar-SA"/>
              </w:rPr>
            </w:pPr>
            <w:r>
              <w:rPr>
                <w:rFonts w:hint="eastAsia" w:ascii="仿宋" w:hAnsi="仿宋" w:eastAsia="仿宋" w:cs="仿宋"/>
                <w:kern w:val="2"/>
                <w:sz w:val="24"/>
                <w:szCs w:val="28"/>
                <w:lang w:val="en-US" w:eastAsia="zh-CN" w:bidi="ar-SA"/>
              </w:rPr>
              <w:t>1、需提供增值税专用发票。2、质保期不少于1年，如发生质量问题，供应商免费提供维修服务，如维修不能恢复正常使用的，供应商应免费退换货。</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24" w:type="dxa"/>
            <w:gridSpan w:val="2"/>
            <w:tcBorders>
              <w:top w:val="single" w:color="auto" w:sz="4" w:space="0"/>
            </w:tcBorders>
            <w:noWrap w:val="0"/>
            <w:vAlign w:val="center"/>
          </w:tcPr>
          <w:p>
            <w:pPr>
              <w:pStyle w:val="5"/>
              <w:spacing w:before="118" w:line="219" w:lineRule="auto"/>
              <w:ind w:left="114"/>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备注：</w:t>
            </w:r>
          </w:p>
        </w:tc>
      </w:tr>
    </w:tbl>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r>
        <w:rPr>
          <w:rFonts w:hint="eastAsia" w:ascii="仿宋" w:hAnsi="仿宋" w:eastAsia="仿宋"/>
          <w:b/>
          <w:bCs/>
          <w:sz w:val="24"/>
          <w:szCs w:val="32"/>
        </w:rPr>
        <w:t>附件2:</w:t>
      </w:r>
    </w:p>
    <w:p>
      <w:pPr>
        <w:spacing w:line="360" w:lineRule="auto"/>
        <w:rPr>
          <w:rFonts w:hint="eastAsia" w:ascii="仿宋" w:hAnsi="仿宋" w:eastAsia="仿宋"/>
          <w:sz w:val="24"/>
          <w:szCs w:val="32"/>
        </w:rPr>
      </w:pPr>
      <w:r>
        <w:rPr>
          <w:rFonts w:hint="eastAsia" w:ascii="仿宋" w:hAnsi="仿宋" w:eastAsia="仿宋"/>
          <w:sz w:val="24"/>
          <w:szCs w:val="32"/>
        </w:rPr>
        <w:t>《报价文件格式要求》</w:t>
      </w:r>
    </w:p>
    <w:p>
      <w:pPr>
        <w:spacing w:line="360" w:lineRule="auto"/>
        <w:rPr>
          <w:rFonts w:hint="eastAsia" w:ascii="仿宋" w:hAnsi="仿宋" w:eastAsia="仿宋"/>
          <w:sz w:val="24"/>
          <w:szCs w:val="32"/>
        </w:rPr>
      </w:pPr>
      <w:r>
        <w:rPr>
          <w:rFonts w:hint="eastAsia" w:ascii="仿宋" w:hAnsi="仿宋" w:eastAsia="仿宋"/>
          <w:sz w:val="24"/>
          <w:szCs w:val="32"/>
        </w:rPr>
        <w:t>报价文件应严格按照本附件格式要求提供，必需包括以下内容：</w:t>
      </w:r>
    </w:p>
    <w:p>
      <w:pPr>
        <w:spacing w:line="360" w:lineRule="auto"/>
        <w:rPr>
          <w:rFonts w:hint="eastAsia" w:ascii="仿宋" w:hAnsi="仿宋" w:eastAsia="仿宋"/>
          <w:sz w:val="24"/>
          <w:szCs w:val="32"/>
        </w:rPr>
      </w:pPr>
      <w:r>
        <w:rPr>
          <w:rFonts w:hint="eastAsia" w:ascii="仿宋" w:hAnsi="仿宋" w:eastAsia="仿宋"/>
          <w:sz w:val="24"/>
          <w:szCs w:val="32"/>
        </w:rPr>
        <w:t>★（1）报价函（见附件3）</w:t>
      </w:r>
    </w:p>
    <w:p>
      <w:pPr>
        <w:spacing w:line="360" w:lineRule="auto"/>
        <w:rPr>
          <w:rFonts w:hint="eastAsia" w:ascii="仿宋" w:hAnsi="仿宋" w:eastAsia="仿宋"/>
          <w:sz w:val="24"/>
          <w:szCs w:val="32"/>
        </w:rPr>
      </w:pPr>
      <w:r>
        <w:rPr>
          <w:rFonts w:hint="eastAsia" w:ascii="仿宋" w:hAnsi="仿宋" w:eastAsia="仿宋"/>
          <w:sz w:val="24"/>
          <w:szCs w:val="32"/>
        </w:rPr>
        <w:t>★（2）营业执照复印件加盖</w:t>
      </w:r>
      <w:r>
        <w:rPr>
          <w:rFonts w:hint="eastAsia" w:ascii="仿宋" w:hAnsi="仿宋" w:eastAsia="仿宋"/>
          <w:sz w:val="24"/>
          <w:szCs w:val="32"/>
          <w:lang w:eastAsia="zh-CN"/>
        </w:rPr>
        <w:t>单位</w:t>
      </w:r>
      <w:r>
        <w:rPr>
          <w:rFonts w:hint="eastAsia" w:ascii="仿宋" w:hAnsi="仿宋" w:eastAsia="仿宋"/>
          <w:sz w:val="24"/>
          <w:szCs w:val="32"/>
          <w:lang w:val="en-US" w:eastAsia="zh-CN"/>
        </w:rPr>
        <w:t>公章</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rPr>
        <w:t>★（3）202</w:t>
      </w:r>
      <w:r>
        <w:rPr>
          <w:rFonts w:hint="eastAsia" w:ascii="仿宋" w:hAnsi="仿宋" w:eastAsia="仿宋"/>
          <w:sz w:val="24"/>
          <w:szCs w:val="32"/>
          <w:lang w:val="en-US" w:eastAsia="zh-CN"/>
        </w:rPr>
        <w:t>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至今，未因所供产品的质量</w:t>
      </w:r>
      <w:r>
        <w:rPr>
          <w:rFonts w:hint="eastAsia" w:ascii="仿宋" w:hAnsi="仿宋" w:eastAsia="仿宋"/>
          <w:sz w:val="24"/>
          <w:szCs w:val="32"/>
          <w:lang w:val="en-US" w:eastAsia="zh-CN"/>
        </w:rPr>
        <w:t>或提供的服务</w:t>
      </w:r>
      <w:r>
        <w:rPr>
          <w:rFonts w:hint="eastAsia" w:ascii="仿宋" w:hAnsi="仿宋" w:eastAsia="仿宋"/>
          <w:sz w:val="24"/>
          <w:szCs w:val="32"/>
        </w:rPr>
        <w:t>原因引起合同纠纷发生仲裁或诉讼事项。（报价人可主动出具申明一份）。</w:t>
      </w:r>
    </w:p>
    <w:p>
      <w:pPr>
        <w:spacing w:line="360" w:lineRule="auto"/>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4</w:t>
      </w:r>
      <w:r>
        <w:rPr>
          <w:rFonts w:hint="eastAsia" w:ascii="仿宋" w:hAnsi="仿宋" w:eastAsia="仿宋"/>
          <w:sz w:val="24"/>
          <w:szCs w:val="32"/>
        </w:rPr>
        <w:t>）报价人必须为未被列入“信用中国”网站（www.creditchina.gov.cn）或中国政府采购网（www.ccgp.gov.cn）渠道信用记录失信被执行人、重大税收违法案件当事人名单、政府采购严重违法失信行为记录名单的企业，提供相关资料（以本项目公告发布之后的查询结果为准）。</w:t>
      </w:r>
    </w:p>
    <w:p>
      <w:pPr>
        <w:spacing w:line="360" w:lineRule="auto"/>
        <w:rPr>
          <w:rFonts w:hint="eastAsia" w:ascii="仿宋" w:hAnsi="仿宋" w:eastAsia="仿宋"/>
          <w:sz w:val="24"/>
          <w:szCs w:val="32"/>
        </w:rPr>
      </w:pPr>
      <w:r>
        <w:rPr>
          <w:rFonts w:hint="eastAsia" w:ascii="仿宋" w:hAnsi="仿宋" w:eastAsia="仿宋"/>
          <w:sz w:val="24"/>
          <w:szCs w:val="32"/>
        </w:rPr>
        <w:t>2、特别说明</w:t>
      </w:r>
    </w:p>
    <w:p>
      <w:pPr>
        <w:spacing w:line="360" w:lineRule="auto"/>
        <w:rPr>
          <w:rFonts w:hint="eastAsia" w:ascii="仿宋" w:hAnsi="仿宋" w:eastAsia="仿宋"/>
          <w:sz w:val="24"/>
          <w:szCs w:val="32"/>
        </w:rPr>
      </w:pPr>
      <w:r>
        <w:rPr>
          <w:rFonts w:hint="eastAsia" w:ascii="仿宋" w:hAnsi="仿宋" w:eastAsia="仿宋"/>
          <w:sz w:val="24"/>
          <w:szCs w:val="32"/>
        </w:rPr>
        <w:t>（1）报价文件制作形式为</w:t>
      </w:r>
      <w:r>
        <w:rPr>
          <w:rFonts w:hint="eastAsia" w:ascii="仿宋" w:hAnsi="仿宋" w:eastAsia="仿宋"/>
          <w:sz w:val="24"/>
          <w:szCs w:val="32"/>
          <w:lang w:eastAsia="zh-CN"/>
        </w:rPr>
        <w:t>纸质</w:t>
      </w:r>
      <w:r>
        <w:rPr>
          <w:rFonts w:hint="eastAsia" w:ascii="仿宋" w:hAnsi="仿宋" w:eastAsia="仿宋"/>
          <w:sz w:val="24"/>
          <w:szCs w:val="32"/>
        </w:rPr>
        <w:t>文件，由本附件上述资料经扫描（或照相）形成的PDF文档或图片，否则视为无效申请文件。</w:t>
      </w:r>
    </w:p>
    <w:p>
      <w:pPr>
        <w:spacing w:line="360" w:lineRule="auto"/>
        <w:rPr>
          <w:rFonts w:hint="eastAsia" w:ascii="仿宋" w:hAnsi="仿宋" w:eastAsia="仿宋"/>
          <w:sz w:val="24"/>
          <w:szCs w:val="32"/>
        </w:rPr>
      </w:pPr>
      <w:r>
        <w:rPr>
          <w:rFonts w:hint="eastAsia" w:ascii="仿宋" w:hAnsi="仿宋" w:eastAsia="仿宋"/>
          <w:sz w:val="24"/>
          <w:szCs w:val="32"/>
        </w:rPr>
        <w:t>（2）报价文件内容因模糊不清等原因影响采购人辨认的，由此造成对报价人做出不利评审结果的，责任由报价人自负。</w:t>
      </w:r>
    </w:p>
    <w:p>
      <w:pPr>
        <w:spacing w:line="360" w:lineRule="auto"/>
        <w:rPr>
          <w:rFonts w:hint="eastAsia" w:ascii="仿宋" w:hAnsi="仿宋" w:eastAsia="仿宋"/>
          <w:sz w:val="24"/>
          <w:szCs w:val="32"/>
        </w:rPr>
      </w:pPr>
      <w:r>
        <w:rPr>
          <w:rFonts w:hint="eastAsia" w:ascii="仿宋" w:hAnsi="仿宋" w:eastAsia="仿宋"/>
          <w:sz w:val="24"/>
          <w:szCs w:val="32"/>
        </w:rPr>
        <w:t>（3）报价人需严格按附件2格式内容制作，若报价文件出现附件2格式的★号项内容缺失，则视为出现重大漏项，采购人将不予接受。</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p>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我公司全面研究了贵公司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lang w:eastAsia="zh-CN"/>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，（小写）¥</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元的报价，并遵照询价公告（含附件）提出的各项规定和要求实施本项目，报价明细清单附后。</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安装、调试、</w:t>
      </w:r>
      <w:r>
        <w:rPr>
          <w:rFonts w:hint="eastAsia" w:ascii="仿宋" w:hAnsi="仿宋" w:eastAsia="仿宋"/>
          <w:sz w:val="24"/>
          <w:szCs w:val="32"/>
          <w:lang w:eastAsia="zh-CN"/>
        </w:rPr>
        <w:t>运输</w:t>
      </w:r>
      <w:r>
        <w:rPr>
          <w:rFonts w:hint="eastAsia" w:ascii="仿宋" w:hAnsi="仿宋" w:eastAsia="仿宋"/>
          <w:sz w:val="24"/>
          <w:szCs w:val="32"/>
          <w:lang w:val="en-US" w:eastAsia="zh-CN"/>
        </w:rPr>
        <w:t>、税费</w:t>
      </w:r>
      <w:r>
        <w:rPr>
          <w:rFonts w:hint="eastAsia" w:ascii="仿宋" w:hAnsi="仿宋" w:eastAsia="仿宋"/>
          <w:sz w:val="24"/>
          <w:szCs w:val="32"/>
          <w:lang w:eastAsia="zh-CN"/>
        </w:rPr>
        <w:t>、货物验收费、</w:t>
      </w:r>
      <w:r>
        <w:rPr>
          <w:rFonts w:hint="eastAsia" w:ascii="仿宋" w:hAnsi="仿宋" w:eastAsia="仿宋"/>
          <w:sz w:val="24"/>
          <w:szCs w:val="32"/>
          <w:lang w:val="en-US" w:eastAsia="zh-Hans"/>
        </w:rPr>
        <w:t>安全措施费</w:t>
      </w:r>
      <w:r>
        <w:rPr>
          <w:rFonts w:hint="eastAsia" w:ascii="仿宋" w:hAnsi="仿宋" w:eastAsia="仿宋"/>
          <w:sz w:val="24"/>
          <w:szCs w:val="32"/>
          <w:lang w:val="en-US" w:eastAsia="zh-CN"/>
        </w:rPr>
        <w:t>等。</w:t>
      </w:r>
    </w:p>
    <w:p>
      <w:pPr>
        <w:spacing w:line="360" w:lineRule="auto"/>
        <w:rPr>
          <w:rFonts w:hint="eastAsia" w:ascii="仿宋" w:hAnsi="仿宋" w:eastAsia="仿宋"/>
          <w:sz w:val="24"/>
          <w:szCs w:val="32"/>
        </w:rPr>
      </w:pPr>
      <w:r>
        <w:rPr>
          <w:rFonts w:hint="eastAsia" w:ascii="仿宋" w:hAnsi="仿宋" w:eastAsia="仿宋"/>
          <w:sz w:val="24"/>
          <w:szCs w:val="32"/>
        </w:rPr>
        <w:t>3.我司承诺报价为固定价，该报价已充分考虑了各种外部因素对报价的影响，接受采购人不接受调价的要求。</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pPr>
        <w:spacing w:line="360" w:lineRule="auto"/>
        <w:rPr>
          <w:rFonts w:hint="eastAsia" w:ascii="仿宋" w:hAnsi="仿宋" w:eastAsia="仿宋"/>
          <w:sz w:val="24"/>
          <w:szCs w:val="32"/>
        </w:rPr>
      </w:pPr>
      <w:r>
        <w:rPr>
          <w:rFonts w:hint="eastAsia" w:ascii="仿宋" w:hAnsi="仿宋" w:eastAsia="仿宋"/>
          <w:sz w:val="24"/>
          <w:szCs w:val="32"/>
        </w:rPr>
        <w:t>（1）如果我司中选，我司将保证在承诺的</w:t>
      </w:r>
      <w:r>
        <w:rPr>
          <w:rFonts w:hint="eastAsia" w:ascii="仿宋" w:hAnsi="仿宋" w:eastAsia="仿宋"/>
          <w:sz w:val="24"/>
          <w:szCs w:val="32"/>
          <w:u w:val="single"/>
          <w:lang w:val="en-US" w:eastAsia="zh-CN"/>
        </w:rPr>
        <w:t xml:space="preserve">   </w:t>
      </w:r>
      <w:r>
        <w:rPr>
          <w:rFonts w:hint="eastAsia" w:ascii="仿宋" w:hAnsi="仿宋" w:eastAsia="仿宋"/>
          <w:sz w:val="24"/>
          <w:szCs w:val="32"/>
          <w:lang w:val="en-US" w:eastAsia="zh-CN"/>
        </w:rPr>
        <w:t>日</w:t>
      </w:r>
      <w:r>
        <w:rPr>
          <w:rFonts w:hint="eastAsia" w:ascii="仿宋" w:hAnsi="仿宋" w:eastAsia="仿宋"/>
          <w:sz w:val="24"/>
          <w:szCs w:val="32"/>
        </w:rPr>
        <w:t>内完成相应工作及</w:t>
      </w:r>
      <w:r>
        <w:rPr>
          <w:rFonts w:hint="eastAsia" w:ascii="仿宋" w:hAnsi="仿宋" w:eastAsia="仿宋"/>
          <w:sz w:val="24"/>
          <w:szCs w:val="32"/>
          <w:lang w:eastAsia="zh-CN"/>
        </w:rPr>
        <w:t>供货</w:t>
      </w:r>
      <w:r>
        <w:rPr>
          <w:rFonts w:hint="eastAsia" w:ascii="仿宋" w:hAnsi="仿宋" w:eastAsia="仿宋"/>
          <w:sz w:val="24"/>
          <w:szCs w:val="32"/>
        </w:rPr>
        <w:t>服务工作。</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（1）货物验收不合格或出现质量等问题，采购人有权拒付合同款和</w:t>
      </w:r>
      <w:r>
        <w:rPr>
          <w:rFonts w:hint="eastAsia" w:ascii="仿宋" w:hAnsi="仿宋" w:eastAsia="仿宋"/>
          <w:sz w:val="24"/>
          <w:szCs w:val="32"/>
        </w:rPr>
        <w:t>拒收该货物，并有权选择要求</w:t>
      </w:r>
      <w:r>
        <w:rPr>
          <w:rFonts w:hint="eastAsia" w:ascii="仿宋" w:hAnsi="仿宋" w:eastAsia="仿宋"/>
          <w:sz w:val="24"/>
          <w:szCs w:val="32"/>
          <w:lang w:val="en-US" w:eastAsia="zh-CN"/>
        </w:rPr>
        <w:t>我司</w:t>
      </w:r>
      <w:r>
        <w:rPr>
          <w:rFonts w:hint="eastAsia" w:ascii="仿宋" w:hAnsi="仿宋" w:eastAsia="仿宋"/>
          <w:sz w:val="24"/>
          <w:szCs w:val="32"/>
        </w:rPr>
        <w:t>予以更换、重作、退货或减少合同约定价款</w:t>
      </w:r>
      <w:r>
        <w:rPr>
          <w:rFonts w:hint="eastAsia" w:ascii="仿宋" w:hAnsi="仿宋" w:eastAsia="仿宋"/>
          <w:sz w:val="24"/>
          <w:szCs w:val="32"/>
          <w:lang w:eastAsia="zh-CN"/>
        </w:rPr>
        <w:t>，</w:t>
      </w:r>
      <w:r>
        <w:rPr>
          <w:rFonts w:hint="eastAsia" w:ascii="仿宋" w:hAnsi="仿宋" w:eastAsia="仿宋"/>
          <w:sz w:val="24"/>
          <w:szCs w:val="32"/>
        </w:rPr>
        <w:t>更换、重作后交付的货物仍然不符合约定的，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单方面无责解除合同，且我司应按货物总金额的30%向采购人支付违约金，造成损失的我司应全额赔偿。同时采购人有权视情况的严重程度将我司列入采购人供应商信息管理库“黑名单”。</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工期违约：我司未按合同约定时间完成供货工作，则我司按每逾期一日向采购人支付100元的违约金，该违约金采购人可从任何应付或应退还的款项中扣除。逾期超过10个日历日的，采购人有权单方面无责解除合同</w:t>
      </w:r>
      <w:r>
        <w:rPr>
          <w:rFonts w:hint="eastAsia" w:ascii="仿宋" w:hAnsi="仿宋" w:eastAsia="仿宋"/>
          <w:sz w:val="24"/>
          <w:szCs w:val="32"/>
        </w:rPr>
        <w:t>并要求赔偿其违约给</w:t>
      </w:r>
      <w:r>
        <w:rPr>
          <w:rFonts w:hint="eastAsia" w:ascii="仿宋" w:hAnsi="仿宋" w:eastAsia="仿宋"/>
          <w:sz w:val="24"/>
          <w:szCs w:val="32"/>
          <w:lang w:eastAsia="zh-CN"/>
        </w:rPr>
        <w:t>采购人</w:t>
      </w:r>
      <w:r>
        <w:rPr>
          <w:rFonts w:hint="eastAsia" w:ascii="仿宋" w:hAnsi="仿宋" w:eastAsia="仿宋"/>
          <w:sz w:val="24"/>
          <w:szCs w:val="32"/>
        </w:rPr>
        <w:t>造成的全部经济损失。</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8.如果我司被确定为本项目的生产厂（供应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   个日历天（递交报价文件起要求不少于30个日历天）</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lang w:eastAsia="zh-CN"/>
        </w:rPr>
        <w:t>.</w:t>
      </w:r>
      <w:r>
        <w:rPr>
          <w:rFonts w:hint="eastAsia" w:ascii="仿宋" w:hAnsi="仿宋" w:eastAsia="仿宋"/>
          <w:sz w:val="24"/>
          <w:szCs w:val="32"/>
        </w:rPr>
        <w:t>我司承诺：20</w:t>
      </w:r>
      <w:r>
        <w:rPr>
          <w:rFonts w:hint="eastAsia" w:ascii="仿宋" w:hAnsi="仿宋" w:eastAsia="仿宋"/>
          <w:sz w:val="24"/>
          <w:szCs w:val="32"/>
          <w:lang w:val="en-US" w:eastAsia="zh-CN"/>
        </w:rPr>
        <w:t>20</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至今，未因所供产品（或服务）的质量原因引起合同纠纷发生仲裁或诉讼事项。</w:t>
      </w:r>
    </w:p>
    <w:p>
      <w:pPr>
        <w:spacing w:line="360" w:lineRule="auto"/>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val="en-US" w:eastAsia="zh-CN"/>
        </w:rPr>
        <w:t>1</w:t>
      </w:r>
      <w:r>
        <w:rPr>
          <w:rFonts w:hint="eastAsia" w:ascii="仿宋" w:hAnsi="仿宋" w:eastAsia="仿宋"/>
          <w:sz w:val="24"/>
          <w:szCs w:val="32"/>
        </w:rPr>
        <w:t>.其他承诺：             （若有）。</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b/>
          <w:bCs/>
          <w:sz w:val="24"/>
          <w:szCs w:val="32"/>
          <w:lang w:eastAsia="zh-CN"/>
        </w:rPr>
      </w:pPr>
    </w:p>
    <w:p>
      <w:pPr>
        <w:spacing w:line="360" w:lineRule="auto"/>
        <w:rPr>
          <w:rFonts w:hint="eastAsia" w:ascii="仿宋" w:hAnsi="仿宋" w:eastAsia="仿宋"/>
          <w:b/>
          <w:bCs/>
          <w:sz w:val="24"/>
          <w:szCs w:val="32"/>
          <w:lang w:eastAsia="zh-CN"/>
        </w:rPr>
      </w:pPr>
    </w:p>
    <w:p>
      <w:pPr>
        <w:spacing w:line="360" w:lineRule="auto"/>
        <w:rPr>
          <w:rFonts w:hint="eastAsia" w:ascii="仿宋" w:hAnsi="仿宋" w:eastAsia="仿宋"/>
          <w:b/>
          <w:bCs/>
          <w:sz w:val="24"/>
          <w:szCs w:val="32"/>
          <w:lang w:eastAsia="zh-CN"/>
        </w:rPr>
      </w:pPr>
    </w:p>
    <w:p>
      <w:pPr>
        <w:spacing w:line="360" w:lineRule="auto"/>
        <w:rPr>
          <w:rFonts w:hint="eastAsia" w:ascii="仿宋" w:hAnsi="仿宋" w:eastAsia="仿宋"/>
          <w:b/>
          <w:bCs/>
          <w:sz w:val="24"/>
          <w:szCs w:val="32"/>
          <w:lang w:eastAsia="zh-CN"/>
        </w:rPr>
      </w:pPr>
    </w:p>
    <w:p>
      <w:pPr>
        <w:spacing w:line="360" w:lineRule="auto"/>
        <w:rPr>
          <w:rFonts w:hint="eastAsia" w:ascii="仿宋" w:hAnsi="仿宋" w:eastAsia="仿宋"/>
          <w:b/>
          <w:bCs/>
          <w:sz w:val="24"/>
          <w:szCs w:val="32"/>
          <w:lang w:val="en-US" w:eastAsia="zh-CN"/>
        </w:rPr>
      </w:pPr>
      <w:r>
        <w:rPr>
          <w:rFonts w:hint="eastAsia" w:ascii="仿宋" w:hAnsi="仿宋" w:eastAsia="仿宋"/>
          <w:b/>
          <w:bCs/>
          <w:sz w:val="24"/>
          <w:szCs w:val="32"/>
          <w:lang w:eastAsia="zh-CN"/>
        </w:rPr>
        <w:t>附件</w:t>
      </w:r>
      <w:r>
        <w:rPr>
          <w:rFonts w:hint="eastAsia" w:ascii="仿宋" w:hAnsi="仿宋" w:eastAsia="仿宋"/>
          <w:b/>
          <w:bCs/>
          <w:sz w:val="24"/>
          <w:szCs w:val="32"/>
          <w:lang w:val="en-US" w:eastAsia="zh-CN"/>
        </w:rPr>
        <w:t>4：</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p>
    <w:p>
      <w:pPr>
        <w:spacing w:line="360" w:lineRule="auto"/>
        <w:ind w:firstLine="3600" w:firstLineChars="1500"/>
        <w:rPr>
          <w:rFonts w:hint="eastAsia" w:ascii="仿宋" w:hAnsi="仿宋" w:eastAsia="仿宋"/>
          <w:sz w:val="24"/>
          <w:szCs w:val="32"/>
          <w:lang w:val="zh-CN"/>
        </w:rPr>
      </w:pPr>
      <w:r>
        <w:rPr>
          <w:rFonts w:hint="eastAsia" w:ascii="仿宋" w:hAnsi="仿宋" w:eastAsia="仿宋"/>
          <w:sz w:val="24"/>
          <w:szCs w:val="32"/>
          <w:lang w:val="zh-CN"/>
        </w:rPr>
        <w:t>报价明细表</w:t>
      </w:r>
    </w:p>
    <w:p>
      <w:pPr>
        <w:spacing w:line="360" w:lineRule="auto"/>
        <w:rPr>
          <w:rFonts w:hint="eastAsia" w:ascii="仿宋" w:hAnsi="仿宋" w:eastAsia="仿宋"/>
          <w:sz w:val="24"/>
          <w:szCs w:val="32"/>
          <w:lang w:val="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43"/>
        <w:gridCol w:w="1296"/>
        <w:gridCol w:w="2627"/>
        <w:gridCol w:w="1132"/>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spacing w:line="360" w:lineRule="auto"/>
              <w:rPr>
                <w:rFonts w:hint="eastAsia" w:ascii="仿宋" w:hAnsi="仿宋" w:eastAsia="仿宋"/>
                <w:sz w:val="24"/>
                <w:szCs w:val="32"/>
              </w:rPr>
            </w:pPr>
            <w:r>
              <w:rPr>
                <w:rFonts w:hint="eastAsia" w:ascii="仿宋" w:hAnsi="仿宋" w:eastAsia="仿宋"/>
                <w:sz w:val="24"/>
                <w:szCs w:val="32"/>
              </w:rPr>
              <w:t>序号</w:t>
            </w:r>
          </w:p>
        </w:tc>
        <w:tc>
          <w:tcPr>
            <w:tcW w:w="1643" w:type="dxa"/>
            <w:noWrap w:val="0"/>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rPr>
              <w:t>名称</w:t>
            </w:r>
          </w:p>
        </w:tc>
        <w:tc>
          <w:tcPr>
            <w:tcW w:w="1296" w:type="dxa"/>
            <w:noWrap w:val="0"/>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lang w:val="en-US" w:eastAsia="zh-CN"/>
              </w:rPr>
              <w:t>单价</w:t>
            </w:r>
          </w:p>
        </w:tc>
        <w:tc>
          <w:tcPr>
            <w:tcW w:w="2627" w:type="dxa"/>
            <w:noWrap w:val="0"/>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规格型号</w:t>
            </w:r>
          </w:p>
        </w:tc>
        <w:tc>
          <w:tcPr>
            <w:tcW w:w="1132" w:type="dxa"/>
            <w:noWrap w:val="0"/>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数量</w:t>
            </w:r>
          </w:p>
        </w:tc>
        <w:tc>
          <w:tcPr>
            <w:tcW w:w="1132" w:type="dxa"/>
            <w:noWrap w:val="0"/>
            <w:vAlign w:val="center"/>
          </w:tcPr>
          <w:p>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spacing w:line="360" w:lineRule="auto"/>
              <w:rPr>
                <w:rFonts w:hint="eastAsia" w:ascii="仿宋" w:hAnsi="仿宋" w:eastAsia="仿宋"/>
                <w:sz w:val="24"/>
                <w:szCs w:val="32"/>
              </w:rPr>
            </w:pPr>
            <w:r>
              <w:rPr>
                <w:rFonts w:hint="eastAsia" w:ascii="仿宋" w:hAnsi="仿宋" w:eastAsia="仿宋"/>
                <w:sz w:val="24"/>
                <w:szCs w:val="32"/>
              </w:rPr>
              <w:t>1</w:t>
            </w:r>
          </w:p>
        </w:tc>
        <w:tc>
          <w:tcPr>
            <w:tcW w:w="1643" w:type="dxa"/>
            <w:noWrap w:val="0"/>
            <w:vAlign w:val="top"/>
          </w:tcPr>
          <w:p>
            <w:pPr>
              <w:spacing w:line="360" w:lineRule="auto"/>
              <w:rPr>
                <w:rFonts w:hint="eastAsia" w:ascii="仿宋" w:hAnsi="仿宋" w:eastAsia="仿宋"/>
                <w:sz w:val="24"/>
                <w:szCs w:val="32"/>
              </w:rPr>
            </w:pPr>
          </w:p>
        </w:tc>
        <w:tc>
          <w:tcPr>
            <w:tcW w:w="1296" w:type="dxa"/>
            <w:noWrap w:val="0"/>
            <w:vAlign w:val="top"/>
          </w:tcPr>
          <w:p>
            <w:pPr>
              <w:spacing w:line="360" w:lineRule="auto"/>
              <w:rPr>
                <w:rFonts w:hint="eastAsia" w:ascii="仿宋" w:hAnsi="仿宋" w:eastAsia="仿宋"/>
                <w:sz w:val="24"/>
                <w:szCs w:val="32"/>
              </w:rPr>
            </w:pPr>
          </w:p>
        </w:tc>
        <w:tc>
          <w:tcPr>
            <w:tcW w:w="2627"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w:t>
            </w:r>
          </w:p>
        </w:tc>
        <w:tc>
          <w:tcPr>
            <w:tcW w:w="1643" w:type="dxa"/>
            <w:noWrap w:val="0"/>
            <w:vAlign w:val="top"/>
          </w:tcPr>
          <w:p>
            <w:pPr>
              <w:spacing w:line="360" w:lineRule="auto"/>
              <w:rPr>
                <w:rFonts w:hint="eastAsia" w:ascii="仿宋" w:hAnsi="仿宋" w:eastAsia="仿宋"/>
                <w:sz w:val="24"/>
                <w:szCs w:val="32"/>
              </w:rPr>
            </w:pPr>
          </w:p>
        </w:tc>
        <w:tc>
          <w:tcPr>
            <w:tcW w:w="1296" w:type="dxa"/>
            <w:noWrap w:val="0"/>
            <w:vAlign w:val="top"/>
          </w:tcPr>
          <w:p>
            <w:pPr>
              <w:spacing w:line="360" w:lineRule="auto"/>
              <w:rPr>
                <w:rFonts w:hint="eastAsia" w:ascii="仿宋" w:hAnsi="仿宋" w:eastAsia="仿宋"/>
                <w:sz w:val="24"/>
                <w:szCs w:val="32"/>
              </w:rPr>
            </w:pPr>
          </w:p>
        </w:tc>
        <w:tc>
          <w:tcPr>
            <w:tcW w:w="2627"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8" w:type="dxa"/>
            <w:gridSpan w:val="5"/>
            <w:noWrap w:val="0"/>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rPr>
              <w:t>合计</w:t>
            </w:r>
            <w:r>
              <w:rPr>
                <w:rFonts w:hint="eastAsia" w:ascii="仿宋" w:hAnsi="仿宋" w:eastAsia="仿宋"/>
                <w:sz w:val="24"/>
                <w:szCs w:val="32"/>
                <w:lang w:val="en-US" w:eastAsia="zh-CN"/>
              </w:rPr>
              <w:t>总价</w:t>
            </w:r>
          </w:p>
        </w:tc>
        <w:tc>
          <w:tcPr>
            <w:tcW w:w="1132" w:type="dxa"/>
            <w:noWrap w:val="0"/>
            <w:vAlign w:val="top"/>
          </w:tcPr>
          <w:p>
            <w:pPr>
              <w:spacing w:line="360" w:lineRule="auto"/>
              <w:rPr>
                <w:rFonts w:hint="eastAsia" w:ascii="仿宋" w:hAnsi="仿宋" w:eastAsia="仿宋"/>
                <w:sz w:val="24"/>
                <w:szCs w:val="32"/>
              </w:rPr>
            </w:pPr>
          </w:p>
        </w:tc>
      </w:tr>
    </w:tbl>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r>
        <w:rPr>
          <w:rFonts w:hint="eastAsia" w:ascii="仿宋" w:hAnsi="仿宋" w:eastAsia="仿宋"/>
          <w:sz w:val="24"/>
          <w:szCs w:val="32"/>
        </w:rPr>
        <w:t>法定代表人或授权委托人：（签字）</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注：1、报价含材料原价、 税金、运输、装卸费等到货验收合格正常运行所需的全部费用。2、装卸要求：供货人将货物送至采购人指定地点，费用包含在报价中。3、报价人需严格按《报价函（模板）》内容制作《报价函》，由于报价人的疏漏出现重要内容更改、重要内容删减、额外附加条件等从而导致报价文件被拒绝或其他不利于报价人的评审结果，责任由报价人自负。</w:t>
      </w:r>
    </w:p>
    <w:p>
      <w:pPr>
        <w:spacing w:line="360" w:lineRule="auto"/>
        <w:rPr>
          <w:rFonts w:hint="eastAsia" w:ascii="仿宋" w:hAnsi="仿宋" w:eastAsia="仿宋"/>
          <w:sz w:val="24"/>
          <w:szCs w:val="32"/>
          <w:lang w:val="zh-CN"/>
        </w:rPr>
      </w:pPr>
    </w:p>
    <w:p>
      <w:pPr>
        <w:spacing w:line="360" w:lineRule="auto"/>
        <w:rPr>
          <w:rFonts w:hint="eastAsia" w:ascii="仿宋" w:hAnsi="仿宋" w:eastAsia="仿宋"/>
          <w:sz w:val="24"/>
          <w:szCs w:val="32"/>
          <w:lang w:val="zh-CN"/>
        </w:rPr>
      </w:pPr>
    </w:p>
    <w:p>
      <w:pPr>
        <w:spacing w:line="360" w:lineRule="auto"/>
        <w:rPr>
          <w:rFonts w:hint="eastAsia" w:ascii="仿宋" w:hAnsi="仿宋" w:eastAsia="仿宋"/>
          <w:sz w:val="24"/>
          <w:szCs w:val="32"/>
          <w:lang w:val="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34F99C"/>
    <w:multiLevelType w:val="singleLevel"/>
    <w:tmpl w:val="5E34F99C"/>
    <w:lvl w:ilvl="0" w:tentative="0">
      <w:start w:val="1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NWRhNGVmNTgyNGNjYzhmOWYyYjdjMzAyZTFiNTEifQ=="/>
  </w:docVars>
  <w:rsids>
    <w:rsidRoot w:val="63820619"/>
    <w:rsid w:val="63820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customStyle="1" w:styleId="5">
    <w:name w:val="Table Text"/>
    <w:basedOn w:val="1"/>
    <w:autoRedefine/>
    <w:semiHidden/>
    <w:qFormat/>
    <w:uiPriority w:val="0"/>
    <w:rPr>
      <w:rFonts w:ascii="宋体" w:hAnsi="宋体" w:eastAsia="宋体" w:cs="宋体"/>
      <w:sz w:val="24"/>
      <w:szCs w:val="24"/>
      <w:lang w:val="en-US" w:eastAsia="en-US" w:bidi="ar-SA"/>
    </w:rPr>
  </w:style>
  <w:style w:type="table" w:customStyle="1" w:styleId="6">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2024-06-04T06:21:00Z</dcterms:created>
  <dc:creator>程露</dc:creator>
  <cp:lastModifiedBy>程露</cp:lastModifiedBy>
  <dcterms:modified xsi:type="dcterms:W3CDTF">2024-06-04T06:23:33Z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176C6025397D493C8D1066482360CCC2_11</vt:lpwstr>
  </property>
</Properties>
</file>