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3F62E">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附件1</w:t>
      </w:r>
    </w:p>
    <w:p w14:paraId="746C2B84">
      <w:pPr>
        <w:spacing w:line="360" w:lineRule="exact"/>
        <w:jc w:val="cente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 xml:space="preserve">       </w:t>
      </w:r>
      <w:bookmarkStart w:id="3" w:name="_GoBack"/>
      <w:r>
        <w:rPr>
          <w:rFonts w:hint="eastAsia" w:asciiTheme="minorEastAsia" w:hAnsiTheme="minorEastAsia" w:eastAsiaTheme="minorEastAsia" w:cstheme="minorEastAsia"/>
          <w:b/>
          <w:color w:val="auto"/>
          <w:sz w:val="24"/>
          <w:szCs w:val="24"/>
          <w:lang w:val="en-US" w:eastAsia="zh-CN"/>
        </w:rPr>
        <w:t xml:space="preserve"> </w:t>
      </w:r>
      <w:r>
        <w:rPr>
          <w:rFonts w:hint="eastAsia" w:asciiTheme="minorEastAsia" w:hAnsiTheme="minorEastAsia" w:eastAsiaTheme="minorEastAsia" w:cstheme="minorEastAsia"/>
          <w:b/>
          <w:color w:val="auto"/>
          <w:sz w:val="24"/>
          <w:szCs w:val="24"/>
          <w:lang w:eastAsia="zh-CN"/>
        </w:rPr>
        <w:t>技术标准和要求</w:t>
      </w:r>
    </w:p>
    <w:bookmarkEnd w:id="3"/>
    <w:p w14:paraId="79D396A0">
      <w:pPr>
        <w:spacing w:line="360" w:lineRule="exact"/>
        <w:jc w:val="center"/>
        <w:rPr>
          <w:rFonts w:hint="eastAsia" w:asciiTheme="minorEastAsia" w:hAnsiTheme="minorEastAsia" w:eastAsiaTheme="minorEastAsia" w:cstheme="minorEastAsia"/>
          <w:b/>
          <w:color w:val="auto"/>
          <w:sz w:val="24"/>
          <w:szCs w:val="24"/>
          <w:lang w:eastAsia="zh-CN"/>
        </w:rPr>
      </w:pPr>
    </w:p>
    <w:tbl>
      <w:tblPr>
        <w:tblStyle w:val="7"/>
        <w:tblW w:w="5022" w:type="pct"/>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14"/>
        <w:gridCol w:w="573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565" w:type="pct"/>
            <w:noWrap w:val="0"/>
            <w:vAlign w:val="center"/>
          </w:tcPr>
          <w:p w14:paraId="3F350461">
            <w:pPr>
              <w:pStyle w:val="6"/>
              <w:spacing w:before="137" w:line="22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项目名称</w:t>
            </w:r>
          </w:p>
        </w:tc>
        <w:tc>
          <w:tcPr>
            <w:tcW w:w="3434" w:type="pct"/>
            <w:noWrap w:val="0"/>
            <w:vAlign w:val="center"/>
          </w:tcPr>
          <w:p w14:paraId="6434A05D">
            <w:pPr>
              <w:pStyle w:val="6"/>
              <w:spacing w:before="138" w:line="219" w:lineRule="auto"/>
              <w:ind w:left="114"/>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绵阳机场辐射监测设备采购项目</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660" w:hRule="atLeast"/>
        </w:trPr>
        <w:tc>
          <w:tcPr>
            <w:tcW w:w="1565" w:type="pct"/>
            <w:noWrap w:val="0"/>
            <w:vAlign w:val="center"/>
          </w:tcPr>
          <w:p w14:paraId="292BEB1A">
            <w:pPr>
              <w:pStyle w:val="6"/>
              <w:spacing w:before="78" w:line="22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技术标准</w:t>
            </w:r>
          </w:p>
        </w:tc>
        <w:tc>
          <w:tcPr>
            <w:tcW w:w="3434" w:type="pct"/>
            <w:noWrap w:val="0"/>
            <w:vAlign w:val="center"/>
          </w:tcPr>
          <w:p w14:paraId="4D577424">
            <w:pPr>
              <w:pStyle w:val="2"/>
              <w:pageBreakBefore w:val="0"/>
              <w:widowControl w:val="0"/>
              <w:numPr>
                <w:ilvl w:val="1"/>
                <w:numId w:val="0"/>
              </w:numPr>
              <w:kinsoku/>
              <w:wordWrap/>
              <w:overflowPunct/>
              <w:topLinePunct w:val="0"/>
              <w:autoSpaceDE/>
              <w:autoSpaceDN/>
              <w:bidi w:val="0"/>
              <w:adjustRightInd/>
              <w:snapToGrid w:val="0"/>
              <w:spacing w:line="400" w:lineRule="exact"/>
              <w:ind w:leftChars="0"/>
              <w:textAlignment w:val="auto"/>
              <w:rPr>
                <w:rFonts w:hint="eastAsia"/>
                <w:highlight w:val="none"/>
              </w:rPr>
            </w:pPr>
            <w:bookmarkStart w:id="0" w:name="_Toc22357"/>
            <w:r>
              <w:rPr>
                <w:rFonts w:hint="eastAsia"/>
                <w:highlight w:val="none"/>
                <w:lang w:val="en-US" w:eastAsia="zh-CN"/>
              </w:rPr>
              <w:t>1、电子式个人剂量报警仪</w:t>
            </w:r>
            <w:bookmarkEnd w:id="0"/>
          </w:p>
          <w:p w14:paraId="1FA4EBFA">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可检测射线类型：X、γ、硬β</w:t>
            </w:r>
            <w:r>
              <w:rPr>
                <w:rFonts w:hint="eastAsia" w:asciiTheme="minorEastAsia" w:hAnsiTheme="minorEastAsia" w:eastAsiaTheme="minorEastAsia" w:cstheme="minorEastAsia"/>
                <w:sz w:val="24"/>
                <w:szCs w:val="24"/>
                <w:highlight w:val="none"/>
                <w:lang w:val="en-US" w:eastAsia="zh-CN"/>
              </w:rPr>
              <w:t>；</w:t>
            </w:r>
          </w:p>
          <w:p w14:paraId="1372157F">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探测器：GM管（标配）</w:t>
            </w:r>
            <w:r>
              <w:rPr>
                <w:rFonts w:hint="eastAsia" w:asciiTheme="minorEastAsia" w:hAnsiTheme="minorEastAsia" w:eastAsiaTheme="minorEastAsia" w:cstheme="minorEastAsia"/>
                <w:sz w:val="24"/>
                <w:szCs w:val="24"/>
                <w:highlight w:val="none"/>
                <w:lang w:val="en-US" w:eastAsia="zh-CN"/>
              </w:rPr>
              <w:t>；</w:t>
            </w:r>
          </w:p>
          <w:p w14:paraId="162AEA83">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显示单位：μSv、μSv/h、mSv、mSv/h、Sv</w:t>
            </w:r>
            <w:r>
              <w:rPr>
                <w:rFonts w:hint="eastAsia" w:asciiTheme="minorEastAsia" w:hAnsiTheme="minorEastAsia" w:eastAsiaTheme="minorEastAsia" w:cstheme="minorEastAsia"/>
                <w:sz w:val="24"/>
                <w:szCs w:val="24"/>
                <w:highlight w:val="none"/>
                <w:lang w:eastAsia="zh-CN"/>
              </w:rPr>
              <w:t>；</w:t>
            </w:r>
          </w:p>
          <w:p w14:paraId="6BC5A3FC">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剂量率范围：0.01μSv/h~30mSv/h</w:t>
            </w:r>
            <w:r>
              <w:rPr>
                <w:rFonts w:hint="eastAsia" w:asciiTheme="minorEastAsia" w:hAnsiTheme="minorEastAsia" w:eastAsiaTheme="minorEastAsia" w:cstheme="minorEastAsia"/>
                <w:sz w:val="24"/>
                <w:szCs w:val="24"/>
                <w:highlight w:val="none"/>
                <w:lang w:eastAsia="zh-CN"/>
              </w:rPr>
              <w:t>；</w:t>
            </w:r>
          </w:p>
          <w:p w14:paraId="6B1A32FB">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相对固有误差：≤±15%（相对</w:t>
            </w:r>
            <w:r>
              <w:rPr>
                <w:rFonts w:hint="eastAsia" w:asciiTheme="minorEastAsia" w:hAnsiTheme="minorEastAsia" w:eastAsiaTheme="minorEastAsia" w:cstheme="minorEastAsia"/>
                <w:sz w:val="24"/>
                <w:szCs w:val="24"/>
                <w:highlight w:val="none"/>
                <w:vertAlign w:val="superscript"/>
              </w:rPr>
              <w:t>137</w:t>
            </w:r>
            <w:r>
              <w:rPr>
                <w:rFonts w:hint="eastAsia" w:asciiTheme="minorEastAsia" w:hAnsiTheme="minorEastAsia" w:eastAsiaTheme="minorEastAsia" w:cstheme="minorEastAsia"/>
                <w:sz w:val="24"/>
                <w:szCs w:val="24"/>
                <w:highlight w:val="none"/>
              </w:rPr>
              <w:t>Cs）</w:t>
            </w:r>
            <w:r>
              <w:rPr>
                <w:rFonts w:hint="eastAsia" w:asciiTheme="minorEastAsia" w:hAnsiTheme="minorEastAsia" w:eastAsiaTheme="minorEastAsia" w:cstheme="minorEastAsia"/>
                <w:sz w:val="24"/>
                <w:szCs w:val="24"/>
                <w:highlight w:val="none"/>
                <w:lang w:eastAsia="zh-CN"/>
              </w:rPr>
              <w:t>；</w:t>
            </w:r>
          </w:p>
          <w:p w14:paraId="070240B0">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能量响应：</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0keV~3.0MeV（相对</w:t>
            </w:r>
            <w:r>
              <w:rPr>
                <w:rFonts w:hint="eastAsia" w:asciiTheme="minorEastAsia" w:hAnsiTheme="minorEastAsia" w:eastAsiaTheme="minorEastAsia" w:cstheme="minorEastAsia"/>
                <w:sz w:val="24"/>
                <w:szCs w:val="24"/>
                <w:highlight w:val="none"/>
                <w:vertAlign w:val="superscript"/>
              </w:rPr>
              <w:t>137</w:t>
            </w:r>
            <w:r>
              <w:rPr>
                <w:rFonts w:hint="eastAsia" w:asciiTheme="minorEastAsia" w:hAnsiTheme="minorEastAsia" w:eastAsiaTheme="minorEastAsia" w:cstheme="minorEastAsia"/>
                <w:sz w:val="24"/>
                <w:szCs w:val="24"/>
                <w:highlight w:val="none"/>
              </w:rPr>
              <w:t>Cs）</w:t>
            </w:r>
            <w:r>
              <w:rPr>
                <w:rFonts w:hint="eastAsia" w:asciiTheme="minorEastAsia" w:hAnsiTheme="minorEastAsia" w:eastAsiaTheme="minorEastAsia" w:cstheme="minorEastAsia"/>
                <w:sz w:val="24"/>
                <w:szCs w:val="24"/>
                <w:highlight w:val="none"/>
                <w:lang w:eastAsia="zh-CN"/>
              </w:rPr>
              <w:t>；</w:t>
            </w:r>
          </w:p>
          <w:p w14:paraId="5A37E204">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累积剂量范围：0μSv~9.99Sv</w:t>
            </w:r>
            <w:r>
              <w:rPr>
                <w:rFonts w:hint="eastAsia" w:asciiTheme="minorEastAsia" w:hAnsiTheme="minorEastAsia" w:eastAsiaTheme="minorEastAsia" w:cstheme="minorEastAsia"/>
                <w:sz w:val="24"/>
                <w:szCs w:val="24"/>
                <w:highlight w:val="none"/>
                <w:lang w:eastAsia="zh-CN"/>
              </w:rPr>
              <w:t>；</w:t>
            </w:r>
          </w:p>
          <w:p w14:paraId="048473EC">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尺寸：</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mm×74mm×</w:t>
            </w:r>
            <w:r>
              <w:rPr>
                <w:rFonts w:hint="eastAsia" w:asciiTheme="minorEastAsia" w:hAnsiTheme="minorEastAsia" w:eastAsiaTheme="minorEastAsia" w:cstheme="minorEastAsia"/>
                <w:sz w:val="24"/>
                <w:szCs w:val="24"/>
                <w:highlight w:val="none"/>
                <w:lang w:val="en-US" w:eastAsia="zh-CN"/>
              </w:rPr>
              <w:t>35</w:t>
            </w:r>
            <w:r>
              <w:rPr>
                <w:rFonts w:hint="eastAsia" w:asciiTheme="minorEastAsia" w:hAnsiTheme="minorEastAsia" w:eastAsiaTheme="minorEastAsia" w:cstheme="minorEastAsia"/>
                <w:sz w:val="24"/>
                <w:szCs w:val="24"/>
                <w:highlight w:val="none"/>
              </w:rPr>
              <w:t>mm</w:t>
            </w:r>
            <w:r>
              <w:rPr>
                <w:rFonts w:hint="eastAsia" w:asciiTheme="minorEastAsia" w:hAnsiTheme="minorEastAsia" w:eastAsiaTheme="minorEastAsia" w:cstheme="minorEastAsia"/>
                <w:sz w:val="24"/>
                <w:szCs w:val="24"/>
                <w:highlight w:val="none"/>
                <w:lang w:eastAsia="zh-CN"/>
              </w:rPr>
              <w:t>；</w:t>
            </w:r>
          </w:p>
          <w:p w14:paraId="2B792652">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重量：≤9</w:t>
            </w:r>
            <w:r>
              <w:rPr>
                <w:rFonts w:hint="eastAsia" w:asciiTheme="minorEastAsia" w:hAnsiTheme="minorEastAsia" w:eastAsiaTheme="minorEastAsia" w:cstheme="minorEastAsia"/>
                <w:sz w:val="24"/>
                <w:szCs w:val="24"/>
                <w:highlight w:val="none"/>
                <w:lang w:val="en-US" w:eastAsia="zh-CN"/>
              </w:rPr>
              <w:t>6+16</w:t>
            </w:r>
            <w:r>
              <w:rPr>
                <w:rFonts w:hint="eastAsia" w:asciiTheme="minorEastAsia" w:hAnsiTheme="minorEastAsia" w:eastAsiaTheme="minorEastAsia" w:cstheme="minorEastAsia"/>
                <w:sz w:val="24"/>
                <w:szCs w:val="24"/>
                <w:highlight w:val="none"/>
              </w:rPr>
              <w:t>g</w:t>
            </w:r>
            <w:r>
              <w:rPr>
                <w:rFonts w:hint="eastAsia" w:asciiTheme="minorEastAsia" w:hAnsiTheme="minorEastAsia" w:eastAsiaTheme="minorEastAsia" w:cstheme="minorEastAsia"/>
                <w:sz w:val="24"/>
                <w:szCs w:val="24"/>
                <w:highlight w:val="none"/>
                <w:lang w:eastAsia="zh-CN"/>
              </w:rPr>
              <w:t>；</w:t>
            </w:r>
          </w:p>
          <w:p w14:paraId="4829640E">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温度范围：-40℃~+50℃</w:t>
            </w:r>
            <w:r>
              <w:rPr>
                <w:rFonts w:hint="eastAsia" w:asciiTheme="minorEastAsia" w:hAnsiTheme="minorEastAsia" w:eastAsiaTheme="minorEastAsia" w:cstheme="minorEastAsia"/>
                <w:sz w:val="24"/>
                <w:szCs w:val="24"/>
                <w:highlight w:val="none"/>
                <w:lang w:eastAsia="zh-CN"/>
              </w:rPr>
              <w:t>；</w:t>
            </w:r>
          </w:p>
          <w:p w14:paraId="6ECAD0CA">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湿度范围：0%~98%R.H</w:t>
            </w:r>
            <w:r>
              <w:rPr>
                <w:rFonts w:hint="eastAsia" w:asciiTheme="minorEastAsia" w:hAnsiTheme="minorEastAsia" w:eastAsiaTheme="minorEastAsia" w:cstheme="minorEastAsia"/>
                <w:sz w:val="24"/>
                <w:szCs w:val="24"/>
                <w:highlight w:val="none"/>
                <w:lang w:eastAsia="zh-CN"/>
              </w:rPr>
              <w:t>；</w:t>
            </w:r>
          </w:p>
          <w:p w14:paraId="15C156BB">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供电方式：一节五号锂电池</w:t>
            </w:r>
            <w:r>
              <w:rPr>
                <w:rFonts w:hint="eastAsia" w:asciiTheme="minorEastAsia" w:hAnsiTheme="minorEastAsia" w:eastAsiaTheme="minorEastAsia" w:cstheme="minorEastAsia"/>
                <w:sz w:val="24"/>
                <w:szCs w:val="24"/>
                <w:highlight w:val="none"/>
                <w:lang w:eastAsia="zh-CN"/>
              </w:rPr>
              <w:t>；</w:t>
            </w:r>
          </w:p>
          <w:p w14:paraId="28526253">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防护等级：IP6</w:t>
            </w:r>
            <w:r>
              <w:rPr>
                <w:rFonts w:hint="eastAsia" w:asciiTheme="minorEastAsia" w:hAnsiTheme="minorEastAsia" w:eastAsiaTheme="minorEastAsia" w:cstheme="minorEastAsia"/>
                <w:sz w:val="24"/>
                <w:szCs w:val="24"/>
                <w:highlight w:val="none"/>
                <w:lang w:val="en-US" w:eastAsia="zh-CN"/>
              </w:rPr>
              <w:t>5；</w:t>
            </w:r>
          </w:p>
          <w:p w14:paraId="2C9E746B">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可充电锂电池，1个；</w:t>
            </w:r>
          </w:p>
          <w:p w14:paraId="5392A77D">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充电器，1个</w:t>
            </w:r>
            <w:bookmarkStart w:id="1" w:name="_Toc15628"/>
            <w:r>
              <w:rPr>
                <w:rFonts w:hint="eastAsia" w:asciiTheme="minorEastAsia" w:hAnsiTheme="minorEastAsia" w:eastAsiaTheme="minorEastAsia" w:cstheme="minorEastAsia"/>
                <w:sz w:val="24"/>
                <w:szCs w:val="24"/>
                <w:highlight w:val="none"/>
                <w:lang w:val="en-US" w:eastAsia="zh-CN"/>
              </w:rPr>
              <w:t>。</w:t>
            </w:r>
          </w:p>
          <w:p w14:paraId="2889BAC0">
            <w:pPr>
              <w:pStyle w:val="2"/>
              <w:pageBreakBefore w:val="0"/>
              <w:widowControl w:val="0"/>
              <w:numPr>
                <w:ilvl w:val="0"/>
                <w:numId w:val="3"/>
              </w:numPr>
              <w:kinsoku/>
              <w:wordWrap/>
              <w:overflowPunct/>
              <w:topLinePunct w:val="0"/>
              <w:autoSpaceDE/>
              <w:autoSpaceDN/>
              <w:bidi w:val="0"/>
              <w:adjustRightInd/>
              <w:snapToGrid w:val="0"/>
              <w:spacing w:line="400" w:lineRule="exact"/>
              <w:ind w:leftChars="0"/>
              <w:textAlignment w:val="auto"/>
              <w:rPr>
                <w:rFonts w:hint="eastAsia" w:ascii="Times New Roman" w:hAnsi="Times New Roman"/>
                <w:highlight w:val="none"/>
                <w:lang w:val="en-US" w:eastAsia="zh-CN"/>
              </w:rPr>
            </w:pPr>
            <w:r>
              <w:rPr>
                <w:rFonts w:hint="eastAsia" w:ascii="Times New Roman" w:hAnsi="Times New Roman"/>
                <w:highlight w:val="none"/>
                <w:lang w:val="en-US" w:eastAsia="zh-CN"/>
              </w:rPr>
              <w:t>便携式X\γ检测仪</w:t>
            </w:r>
            <w:bookmarkEnd w:id="1"/>
          </w:p>
          <w:p w14:paraId="34B4E74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探测器：进口能量补偿型GM计数器</w:t>
            </w:r>
            <w:r>
              <w:rPr>
                <w:rFonts w:hint="eastAsia" w:asciiTheme="minorEastAsia" w:hAnsiTheme="minorEastAsia" w:eastAsiaTheme="minorEastAsia" w:cstheme="minorEastAsia"/>
                <w:sz w:val="24"/>
                <w:szCs w:val="24"/>
                <w:highlight w:val="none"/>
                <w:lang w:eastAsia="zh-CN"/>
              </w:rPr>
              <w:t>；</w:t>
            </w:r>
          </w:p>
          <w:p w14:paraId="3D391AAB">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测量范围：0.1μSv/h-100mSv/h</w:t>
            </w:r>
            <w:r>
              <w:rPr>
                <w:rFonts w:hint="eastAsia" w:asciiTheme="minorEastAsia" w:hAnsiTheme="minorEastAsia" w:eastAsiaTheme="minorEastAsia" w:cstheme="minorEastAsia"/>
                <w:sz w:val="24"/>
                <w:szCs w:val="24"/>
                <w:highlight w:val="none"/>
                <w:lang w:eastAsia="zh-CN"/>
              </w:rPr>
              <w:t>；</w:t>
            </w:r>
          </w:p>
          <w:p w14:paraId="32A460E7">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能量范围：45KeV-3MeV</w:t>
            </w:r>
            <w:r>
              <w:rPr>
                <w:rFonts w:hint="eastAsia" w:asciiTheme="minorEastAsia" w:hAnsiTheme="minorEastAsia" w:eastAsiaTheme="minorEastAsia" w:cstheme="minorEastAsia"/>
                <w:sz w:val="24"/>
                <w:szCs w:val="24"/>
                <w:highlight w:val="none"/>
                <w:lang w:eastAsia="zh-CN"/>
              </w:rPr>
              <w:t>；</w:t>
            </w:r>
          </w:p>
          <w:p w14:paraId="28487181">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灵敏度：1.7cps/(μSv/h)</w:t>
            </w:r>
            <w:r>
              <w:rPr>
                <w:rFonts w:hint="eastAsia" w:asciiTheme="minorEastAsia" w:hAnsiTheme="minorEastAsia" w:eastAsiaTheme="minorEastAsia" w:cstheme="minorEastAsia"/>
                <w:sz w:val="24"/>
                <w:szCs w:val="24"/>
                <w:highlight w:val="none"/>
                <w:lang w:eastAsia="zh-CN"/>
              </w:rPr>
              <w:t>；</w:t>
            </w:r>
          </w:p>
          <w:p w14:paraId="219D2EC0">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能量响应：-23%-+43%</w:t>
            </w:r>
            <w:r>
              <w:rPr>
                <w:rFonts w:hint="eastAsia" w:asciiTheme="minorEastAsia" w:hAnsiTheme="minorEastAsia" w:eastAsiaTheme="minorEastAsia" w:cstheme="minorEastAsia"/>
                <w:sz w:val="24"/>
                <w:szCs w:val="24"/>
                <w:highlight w:val="none"/>
                <w:lang w:eastAsia="zh-CN"/>
              </w:rPr>
              <w:t>；</w:t>
            </w:r>
          </w:p>
          <w:p w14:paraId="2962BC97">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角响应：≤±20%</w:t>
            </w:r>
            <w:r>
              <w:rPr>
                <w:rFonts w:hint="eastAsia" w:asciiTheme="minorEastAsia" w:hAnsiTheme="minorEastAsia" w:eastAsiaTheme="minorEastAsia" w:cstheme="minorEastAsia"/>
                <w:sz w:val="24"/>
                <w:szCs w:val="24"/>
                <w:highlight w:val="none"/>
                <w:lang w:eastAsia="zh-CN"/>
              </w:rPr>
              <w:t>；</w:t>
            </w:r>
          </w:p>
          <w:p w14:paraId="61980674">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相对固有误差：≤±15%</w:t>
            </w:r>
            <w:r>
              <w:rPr>
                <w:rFonts w:hint="eastAsia" w:asciiTheme="minorEastAsia" w:hAnsiTheme="minorEastAsia" w:eastAsiaTheme="minorEastAsia" w:cstheme="minorEastAsia"/>
                <w:sz w:val="24"/>
                <w:szCs w:val="24"/>
                <w:highlight w:val="none"/>
                <w:lang w:eastAsia="zh-CN"/>
              </w:rPr>
              <w:t>；</w:t>
            </w:r>
          </w:p>
          <w:p w14:paraId="16685639">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尺寸：</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82(W)×132(H) ×32(D),mm</w:t>
            </w:r>
            <w:r>
              <w:rPr>
                <w:rFonts w:hint="eastAsia" w:asciiTheme="minorEastAsia" w:hAnsiTheme="minorEastAsia" w:eastAsiaTheme="minorEastAsia" w:cstheme="minorEastAsia"/>
                <w:sz w:val="24"/>
                <w:szCs w:val="24"/>
                <w:highlight w:val="none"/>
                <w:lang w:eastAsia="zh-CN"/>
              </w:rPr>
              <w:t>；</w:t>
            </w:r>
          </w:p>
          <w:p w14:paraId="4CC0EBC7">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防护等级：IP67</w:t>
            </w:r>
            <w:r>
              <w:rPr>
                <w:rFonts w:hint="eastAsia" w:asciiTheme="minorEastAsia" w:hAnsiTheme="minorEastAsia" w:eastAsiaTheme="minorEastAsia" w:cstheme="minorEastAsia"/>
                <w:sz w:val="24"/>
                <w:szCs w:val="24"/>
                <w:highlight w:val="none"/>
                <w:lang w:eastAsia="zh-CN"/>
              </w:rPr>
              <w:t>；</w:t>
            </w:r>
          </w:p>
          <w:p w14:paraId="3EBD95AC">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存储环境：温度（-30℃-60℃）湿度（0- 95%）</w:t>
            </w:r>
            <w:r>
              <w:rPr>
                <w:rFonts w:hint="eastAsia" w:asciiTheme="minorEastAsia" w:hAnsiTheme="minorEastAsia" w:eastAsiaTheme="minorEastAsia" w:cstheme="minorEastAsia"/>
                <w:sz w:val="24"/>
                <w:szCs w:val="24"/>
                <w:highlight w:val="none"/>
                <w:lang w:eastAsia="zh-CN"/>
              </w:rPr>
              <w:t>；</w:t>
            </w:r>
          </w:p>
          <w:p w14:paraId="1A044EC2">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工作环境：温度（-20℃-50℃）湿度（0- 95%）</w:t>
            </w:r>
            <w:r>
              <w:rPr>
                <w:rFonts w:hint="eastAsia" w:asciiTheme="minorEastAsia" w:hAnsiTheme="minorEastAsia" w:eastAsiaTheme="minorEastAsia" w:cstheme="minorEastAsia"/>
                <w:sz w:val="24"/>
                <w:szCs w:val="24"/>
                <w:highlight w:val="none"/>
                <w:lang w:eastAsia="zh-CN"/>
              </w:rPr>
              <w:t>；</w:t>
            </w:r>
          </w:p>
          <w:p w14:paraId="32F009F5">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硅胶保护套，1个；</w:t>
            </w:r>
          </w:p>
          <w:p w14:paraId="732B1458">
            <w:pPr>
              <w:keepNext w:val="0"/>
              <w:keepLines w:val="0"/>
              <w:pageBreakBefore w:val="0"/>
              <w:widowControl w:val="0"/>
              <w:numPr>
                <w:ilvl w:val="0"/>
                <w:numId w:val="4"/>
              </w:numPr>
              <w:kinsoku/>
              <w:wordWrap/>
              <w:overflowPunct/>
              <w:topLinePunct w:val="0"/>
              <w:autoSpaceDE/>
              <w:autoSpaceDN/>
              <w:bidi w:val="0"/>
              <w:adjustRightInd/>
              <w:snapToGrid w:val="0"/>
              <w:spacing w:line="400" w:lineRule="exact"/>
              <w:ind w:left="845" w:leftChars="0" w:right="0" w:rightChars="0" w:hanging="425" w:firstLineChars="0"/>
              <w:textAlignment w:val="auto"/>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电源适配器，1个。</w:t>
            </w:r>
            <w:bookmarkStart w:id="2" w:name="_Toc11446"/>
          </w:p>
          <w:p w14:paraId="06CC6D3F">
            <w:pPr>
              <w:pStyle w:val="2"/>
              <w:pageBreakBefore w:val="0"/>
              <w:widowControl w:val="0"/>
              <w:numPr>
                <w:ilvl w:val="1"/>
                <w:numId w:val="0"/>
              </w:numPr>
              <w:kinsoku/>
              <w:wordWrap/>
              <w:overflowPunct/>
              <w:topLinePunct w:val="0"/>
              <w:autoSpaceDE/>
              <w:autoSpaceDN/>
              <w:bidi w:val="0"/>
              <w:adjustRightInd/>
              <w:snapToGrid w:val="0"/>
              <w:spacing w:line="400" w:lineRule="exact"/>
              <w:ind w:leftChars="0"/>
              <w:textAlignment w:val="auto"/>
              <w:rPr>
                <w:rFonts w:hint="default" w:ascii="Times New Roman" w:hAnsi="Times New Roman"/>
                <w:highlight w:val="none"/>
                <w:lang w:val="en-US" w:eastAsia="zh-CN"/>
              </w:rPr>
            </w:pPr>
            <w:r>
              <w:rPr>
                <w:rFonts w:hint="eastAsia"/>
                <w:highlight w:val="none"/>
                <w:lang w:val="en-US" w:eastAsia="zh-CN"/>
              </w:rPr>
              <w:t>3、</w:t>
            </w:r>
            <w:r>
              <w:rPr>
                <w:rFonts w:hint="default" w:ascii="Times New Roman" w:hAnsi="Times New Roman"/>
                <w:highlight w:val="none"/>
                <w:lang w:val="en-US" w:eastAsia="zh-CN"/>
              </w:rPr>
              <w:t>固定式辐射测量仪</w:t>
            </w:r>
            <w:bookmarkEnd w:id="2"/>
          </w:p>
          <w:p w14:paraId="4BE1387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（1）显示</w:t>
            </w:r>
          </w:p>
          <w:p w14:paraId="086B94D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420" w:leftChars="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①显示： 5英寸LCD 液晶显示屏；</w:t>
            </w:r>
          </w:p>
          <w:p w14:paraId="79BE8EF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420" w:leftChars="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②单位： nGy/h、μGy/h、mGy/h、Gy/h、 nSv/h、 μSv/h、 mSv/h、 Sv/h、 Gy、 Sv、 CPS 等；</w:t>
            </w:r>
          </w:p>
          <w:p w14:paraId="5241245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420" w:leftChars="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③探测器状态显示：正常、离线、报警、过载。</w:t>
            </w:r>
          </w:p>
          <w:p w14:paraId="4E4FB17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（2）报警</w:t>
            </w:r>
          </w:p>
          <w:p w14:paraId="12BC80B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20" w:leftChars="0" w:firstLine="400" w:firstLineChars="0"/>
              <w:textAlignment w:val="auto"/>
              <w:rPr>
                <w:rFonts w:hint="eastAsia" w:ascii="Times New Roman" w:hAnsi="Times New Roman"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①</w:t>
            </w:r>
            <w:r>
              <w:rPr>
                <w:rFonts w:hint="eastAsia" w:ascii="Times New Roman" w:hAnsi="Times New Roman" w:cs="Times New Roman"/>
                <w:sz w:val="24"/>
                <w:szCs w:val="24"/>
                <w:highlight w:val="none"/>
                <w:lang w:val="en-US" w:eastAsia="zh-CN"/>
              </w:rPr>
              <w:t>报警功能：报警阈值可自定义设置；</w:t>
            </w:r>
          </w:p>
          <w:p w14:paraId="51B7A34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20" w:leftChars="0" w:firstLine="400" w:firstLineChars="0"/>
              <w:textAlignment w:val="auto"/>
              <w:rPr>
                <w:rFonts w:hint="eastAsia" w:ascii="Times New Roman" w:hAnsi="Times New Roman"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②</w:t>
            </w:r>
            <w:r>
              <w:rPr>
                <w:rFonts w:hint="eastAsia" w:ascii="Times New Roman" w:hAnsi="Times New Roman" w:cs="Times New Roman"/>
                <w:sz w:val="24"/>
                <w:szCs w:val="24"/>
                <w:highlight w:val="none"/>
                <w:lang w:val="en-US" w:eastAsia="zh-CN"/>
              </w:rPr>
              <w:t>异常状态：剂量率超过阈值、探测器故障报警；</w:t>
            </w:r>
          </w:p>
          <w:p w14:paraId="7C34A67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20" w:leftChars="0" w:firstLine="400" w:firstLineChars="0"/>
              <w:textAlignment w:val="auto"/>
              <w:rPr>
                <w:rFonts w:hint="eastAsia" w:ascii="Times New Roman" w:hAnsi="Times New Roman"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③</w:t>
            </w:r>
            <w:r>
              <w:rPr>
                <w:rFonts w:hint="eastAsia" w:ascii="Times New Roman" w:hAnsi="Times New Roman" w:cs="Times New Roman"/>
                <w:sz w:val="24"/>
                <w:szCs w:val="24"/>
                <w:highlight w:val="none"/>
                <w:lang w:val="en-US" w:eastAsia="zh-CN"/>
              </w:rPr>
              <w:t>报警方式：显示、声光报警，也可根据用户要求设计。</w:t>
            </w:r>
          </w:p>
          <w:p w14:paraId="32D7576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（3）功能</w:t>
            </w:r>
          </w:p>
          <w:p w14:paraId="1A471AE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426" w:leftChars="203" w:firstLine="0" w:firstLineChars="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实时就地显示测量数据.</w:t>
            </w:r>
          </w:p>
          <w:p w14:paraId="7DDE9786">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426" w:leftChars="203" w:firstLine="0" w:firstLineChars="0"/>
              <w:textAlignment w:val="auto"/>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（4）本地设置</w:t>
            </w:r>
          </w:p>
          <w:p w14:paraId="5A36320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eastAsia" w:ascii="Times New Roman" w:hAnsi="Times New Roman"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①</w:t>
            </w:r>
            <w:r>
              <w:rPr>
                <w:rFonts w:hint="eastAsia" w:ascii="Times New Roman" w:hAnsi="Times New Roman" w:cs="Times New Roman"/>
                <w:sz w:val="24"/>
                <w:szCs w:val="24"/>
                <w:highlight w:val="none"/>
                <w:lang w:val="en-US" w:eastAsia="zh-CN"/>
              </w:rPr>
              <w:t>设定逻辑输出信号给相关连锁设备；</w:t>
            </w:r>
          </w:p>
          <w:p w14:paraId="03FA247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②</w:t>
            </w:r>
            <w:r>
              <w:rPr>
                <w:rFonts w:hint="eastAsia" w:ascii="Times New Roman" w:hAnsi="Times New Roman" w:cs="Times New Roman"/>
                <w:sz w:val="24"/>
                <w:szCs w:val="24"/>
                <w:highlight w:val="none"/>
                <w:lang w:val="en-US" w:eastAsia="zh-CN"/>
              </w:rPr>
              <w:t>传输测量数据至上位机和接收上位机的指令。</w:t>
            </w:r>
          </w:p>
          <w:p w14:paraId="49F7068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val="en-US" w:eastAsia="zh-CN"/>
              </w:rPr>
              <w:t>接入设备</w:t>
            </w:r>
          </w:p>
          <w:p w14:paraId="1FAEAF2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①</w:t>
            </w:r>
            <w:r>
              <w:rPr>
                <w:rFonts w:hint="default" w:ascii="Times New Roman" w:hAnsi="Times New Roman" w:eastAsia="宋体" w:cs="Times New Roman"/>
                <w:sz w:val="24"/>
                <w:szCs w:val="24"/>
                <w:highlight w:val="none"/>
                <w:lang w:val="en-US" w:eastAsia="zh-CN"/>
              </w:rPr>
              <w:t>探头数量：支持16路，可扩展最多64路</w:t>
            </w:r>
            <w:r>
              <w:rPr>
                <w:rFonts w:hint="eastAsia" w:ascii="Times New Roman" w:hAnsi="Times New Roman" w:eastAsia="宋体" w:cs="Times New Roman"/>
                <w:sz w:val="24"/>
                <w:szCs w:val="24"/>
                <w:highlight w:val="none"/>
                <w:lang w:val="en-US" w:eastAsia="zh-CN"/>
              </w:rPr>
              <w:t>；</w:t>
            </w:r>
          </w:p>
          <w:p w14:paraId="04B07A3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②</w:t>
            </w:r>
            <w:r>
              <w:rPr>
                <w:rFonts w:hint="default" w:ascii="Times New Roman" w:hAnsi="Times New Roman" w:eastAsia="宋体" w:cs="Times New Roman"/>
                <w:sz w:val="24"/>
                <w:szCs w:val="24"/>
                <w:highlight w:val="none"/>
                <w:lang w:val="en-US" w:eastAsia="zh-CN"/>
              </w:rPr>
              <w:t>数字量（I/O）：3路输出，可搭配连锁系统</w:t>
            </w:r>
            <w:r>
              <w:rPr>
                <w:rFonts w:hint="eastAsia" w:ascii="Times New Roman" w:hAnsi="Times New Roman" w:eastAsia="宋体" w:cs="Times New Roman"/>
                <w:sz w:val="24"/>
                <w:szCs w:val="24"/>
                <w:highlight w:val="none"/>
                <w:lang w:val="en-US" w:eastAsia="zh-CN"/>
              </w:rPr>
              <w:t>；</w:t>
            </w:r>
          </w:p>
          <w:p w14:paraId="35AD744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③</w:t>
            </w:r>
            <w:r>
              <w:rPr>
                <w:rFonts w:hint="default" w:ascii="Times New Roman" w:hAnsi="Times New Roman" w:eastAsia="宋体" w:cs="Times New Roman"/>
                <w:sz w:val="24"/>
                <w:szCs w:val="24"/>
                <w:highlight w:val="none"/>
                <w:lang w:val="en-US" w:eastAsia="zh-CN"/>
              </w:rPr>
              <w:t>探头通讯：RS485总线</w:t>
            </w:r>
            <w:r>
              <w:rPr>
                <w:rFonts w:hint="eastAsia" w:ascii="Times New Roman" w:hAnsi="Times New Roman" w:eastAsia="宋体" w:cs="Times New Roman"/>
                <w:sz w:val="24"/>
                <w:szCs w:val="24"/>
                <w:highlight w:val="none"/>
                <w:lang w:val="en-US" w:eastAsia="zh-CN"/>
              </w:rPr>
              <w:t>；</w:t>
            </w:r>
          </w:p>
          <w:p w14:paraId="3A5EDB7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④</w:t>
            </w:r>
            <w:r>
              <w:rPr>
                <w:rFonts w:hint="default" w:ascii="Times New Roman" w:hAnsi="Times New Roman" w:eastAsia="宋体" w:cs="Times New Roman"/>
                <w:sz w:val="24"/>
                <w:szCs w:val="24"/>
                <w:highlight w:val="none"/>
                <w:lang w:val="en-US" w:eastAsia="zh-CN"/>
              </w:rPr>
              <w:t>上位机通讯：TCP/IP，选配蓝牙/WiFi，或4G</w:t>
            </w:r>
            <w:r>
              <w:rPr>
                <w:rFonts w:hint="eastAsia" w:ascii="Times New Roman" w:hAnsi="Times New Roman" w:eastAsia="宋体" w:cs="Times New Roman"/>
                <w:sz w:val="24"/>
                <w:szCs w:val="24"/>
                <w:highlight w:val="none"/>
                <w:lang w:val="en-US" w:eastAsia="zh-CN"/>
              </w:rPr>
              <w:t>。</w:t>
            </w:r>
          </w:p>
          <w:p w14:paraId="6E61358F">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lang w:val="en-US" w:eastAsia="zh-CN"/>
              </w:rPr>
              <w:t xml:space="preserve">其它参数 </w:t>
            </w:r>
          </w:p>
          <w:p w14:paraId="6E1651C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①</w:t>
            </w:r>
            <w:r>
              <w:rPr>
                <w:rFonts w:hint="default" w:ascii="Times New Roman" w:hAnsi="Times New Roman" w:eastAsia="宋体" w:cs="Times New Roman"/>
                <w:sz w:val="24"/>
                <w:szCs w:val="24"/>
                <w:highlight w:val="none"/>
                <w:lang w:val="en-US" w:eastAsia="zh-CN"/>
              </w:rPr>
              <w:t>储存环境：温度（-30℃-60℃）湿度（0- 95%）</w:t>
            </w:r>
            <w:r>
              <w:rPr>
                <w:rFonts w:hint="eastAsia" w:ascii="Times New Roman" w:hAnsi="Times New Roman" w:eastAsia="宋体" w:cs="Times New Roman"/>
                <w:sz w:val="24"/>
                <w:szCs w:val="24"/>
                <w:highlight w:val="none"/>
                <w:lang w:val="en-US" w:eastAsia="zh-CN"/>
              </w:rPr>
              <w:t>；</w:t>
            </w:r>
          </w:p>
          <w:p w14:paraId="787040C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②</w:t>
            </w:r>
            <w:r>
              <w:rPr>
                <w:rFonts w:hint="default" w:ascii="Times New Roman" w:hAnsi="Times New Roman" w:eastAsia="宋体" w:cs="Times New Roman"/>
                <w:sz w:val="24"/>
                <w:szCs w:val="24"/>
                <w:highlight w:val="none"/>
                <w:lang w:val="en-US" w:eastAsia="zh-CN"/>
              </w:rPr>
              <w:t>工作环境：温度（-20℃-55℃）湿度（0- 95%）</w:t>
            </w:r>
            <w:r>
              <w:rPr>
                <w:rFonts w:hint="eastAsia" w:ascii="Times New Roman" w:hAnsi="Times New Roman" w:eastAsia="宋体" w:cs="Times New Roman"/>
                <w:sz w:val="24"/>
                <w:szCs w:val="24"/>
                <w:highlight w:val="none"/>
                <w:lang w:val="en-US" w:eastAsia="zh-CN"/>
              </w:rPr>
              <w:t>；</w:t>
            </w:r>
          </w:p>
          <w:p w14:paraId="32B8CAC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③</w:t>
            </w:r>
            <w:r>
              <w:rPr>
                <w:rFonts w:hint="default" w:ascii="Times New Roman" w:hAnsi="Times New Roman" w:eastAsia="宋体" w:cs="Times New Roman"/>
                <w:sz w:val="24"/>
                <w:szCs w:val="24"/>
                <w:highlight w:val="none"/>
                <w:lang w:val="en-US" w:eastAsia="zh-CN"/>
              </w:rPr>
              <w:t>尺寸：</w:t>
            </w:r>
            <w:r>
              <w:rPr>
                <w:rFonts w:hint="eastAsia"/>
                <w:highlight w:val="none"/>
                <w:lang w:val="en-US" w:eastAsia="zh-CN"/>
              </w:rPr>
              <w:t>≥</w:t>
            </w:r>
            <w:r>
              <w:rPr>
                <w:rFonts w:hint="default" w:ascii="Times New Roman" w:hAnsi="Times New Roman" w:eastAsia="宋体" w:cs="Times New Roman"/>
                <w:sz w:val="24"/>
                <w:szCs w:val="24"/>
                <w:highlight w:val="none"/>
                <w:lang w:val="en-US" w:eastAsia="zh-CN"/>
              </w:rPr>
              <w:t>332×308×97mm（含报警指示灯）</w:t>
            </w:r>
            <w:r>
              <w:rPr>
                <w:rFonts w:hint="eastAsia" w:ascii="Times New Roman" w:hAnsi="Times New Roman" w:eastAsia="宋体" w:cs="Times New Roman"/>
                <w:sz w:val="24"/>
                <w:szCs w:val="24"/>
                <w:highlight w:val="none"/>
                <w:lang w:val="en-US" w:eastAsia="zh-CN"/>
              </w:rPr>
              <w:t>；</w:t>
            </w:r>
          </w:p>
          <w:p w14:paraId="05116AA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④</w:t>
            </w:r>
            <w:r>
              <w:rPr>
                <w:rFonts w:hint="default" w:ascii="Times New Roman" w:hAnsi="Times New Roman" w:eastAsia="宋体" w:cs="Times New Roman"/>
                <w:sz w:val="24"/>
                <w:szCs w:val="24"/>
                <w:highlight w:val="none"/>
                <w:lang w:val="en-US" w:eastAsia="zh-CN"/>
              </w:rPr>
              <w:t>重量：</w:t>
            </w:r>
            <w:r>
              <w:rPr>
                <w:rFonts w:hint="eastAsia"/>
                <w:highlight w:val="none"/>
                <w:lang w:val="en-US" w:eastAsia="zh-CN"/>
              </w:rPr>
              <w:t>≥</w:t>
            </w:r>
            <w:r>
              <w:rPr>
                <w:rFonts w:hint="default" w:ascii="Times New Roman" w:hAnsi="Times New Roman" w:eastAsia="宋体" w:cs="Times New Roman"/>
                <w:sz w:val="24"/>
                <w:szCs w:val="24"/>
                <w:highlight w:val="none"/>
                <w:lang w:val="en-US" w:eastAsia="zh-CN"/>
              </w:rPr>
              <w:t>3.8kg</w:t>
            </w:r>
            <w:r>
              <w:rPr>
                <w:rFonts w:hint="eastAsia" w:ascii="Times New Roman" w:hAnsi="Times New Roman" w:eastAsia="宋体" w:cs="Times New Roman"/>
                <w:sz w:val="24"/>
                <w:szCs w:val="24"/>
                <w:highlight w:val="none"/>
                <w:lang w:val="en-US" w:eastAsia="zh-CN"/>
              </w:rPr>
              <w:t>；</w:t>
            </w:r>
          </w:p>
          <w:p w14:paraId="60974EF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⑤</w:t>
            </w:r>
            <w:r>
              <w:rPr>
                <w:rFonts w:hint="default" w:ascii="Times New Roman" w:hAnsi="Times New Roman" w:eastAsia="宋体" w:cs="Times New Roman"/>
                <w:sz w:val="24"/>
                <w:szCs w:val="24"/>
                <w:highlight w:val="none"/>
                <w:lang w:val="en-US" w:eastAsia="zh-CN"/>
              </w:rPr>
              <w:t>供电电源：AC 110～260V 50Hz，0.5A</w:t>
            </w:r>
            <w:r>
              <w:rPr>
                <w:rFonts w:hint="eastAsia" w:ascii="Times New Roman" w:hAnsi="Times New Roman" w:eastAsia="宋体" w:cs="Times New Roman"/>
                <w:sz w:val="24"/>
                <w:szCs w:val="24"/>
                <w:highlight w:val="none"/>
                <w:lang w:val="en-US" w:eastAsia="zh-CN"/>
              </w:rPr>
              <w:t>；</w:t>
            </w:r>
          </w:p>
          <w:p w14:paraId="294DAE6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highlight w:val="none"/>
              </w:rPr>
            </w:pPr>
            <w:r>
              <w:rPr>
                <w:rFonts w:hint="eastAsia" w:ascii="宋体" w:hAnsi="宋体" w:eastAsia="宋体" w:cstheme="minorEastAsia"/>
                <w:kern w:val="2"/>
                <w:sz w:val="24"/>
                <w:szCs w:val="24"/>
                <w:lang w:val="en-US" w:eastAsia="zh-CN" w:bidi="ar-SA"/>
              </w:rPr>
              <w:t>⑥</w:t>
            </w:r>
            <w:r>
              <w:rPr>
                <w:rFonts w:hint="default" w:ascii="Times New Roman" w:hAnsi="Times New Roman" w:eastAsia="宋体" w:cs="Times New Roman"/>
                <w:sz w:val="24"/>
                <w:szCs w:val="24"/>
                <w:highlight w:val="none"/>
                <w:lang w:val="en-US" w:eastAsia="zh-CN"/>
              </w:rPr>
              <w:t>功率：</w:t>
            </w:r>
            <w:r>
              <w:rPr>
                <w:rFonts w:hint="eastAsia"/>
                <w:highlight w:val="none"/>
              </w:rPr>
              <w:t>≤</w:t>
            </w:r>
            <w:r>
              <w:rPr>
                <w:rFonts w:hint="default" w:ascii="Times New Roman" w:hAnsi="Times New Roman" w:eastAsia="宋体" w:cs="Times New Roman"/>
                <w:sz w:val="24"/>
                <w:szCs w:val="24"/>
                <w:highlight w:val="none"/>
                <w:lang w:val="en-US" w:eastAsia="zh-CN"/>
              </w:rPr>
              <w:t>6.1W</w:t>
            </w:r>
            <w:r>
              <w:rPr>
                <w:rFonts w:hint="eastAsia" w:ascii="Times New Roman" w:hAnsi="Times New Roman" w:eastAsia="宋体" w:cs="Times New Roman"/>
                <w:sz w:val="24"/>
                <w:szCs w:val="24"/>
                <w:highlight w:val="none"/>
                <w:lang w:val="en-US" w:eastAsia="zh-CN"/>
              </w:rPr>
              <w:t>。</w:t>
            </w:r>
          </w:p>
          <w:p w14:paraId="72278C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b/>
                <w:bCs/>
                <w:highlight w:val="none"/>
                <w:lang w:val="en-US" w:eastAsia="zh-CN"/>
              </w:rPr>
            </w:pPr>
            <w:r>
              <w:rPr>
                <w:rFonts w:hint="eastAsia" w:ascii="Times New Roman" w:hAnsi="Times New Roman" w:eastAsia="宋体" w:cs="Times New Roman"/>
                <w:color w:val="auto"/>
                <w:sz w:val="24"/>
                <w:szCs w:val="24"/>
                <w:highlight w:val="none"/>
                <w:lang w:val="en-US" w:eastAsia="zh-CN"/>
              </w:rPr>
              <w:t>（8）探测器</w:t>
            </w:r>
          </w:p>
          <w:p w14:paraId="1204575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①</w:t>
            </w:r>
            <w:r>
              <w:rPr>
                <w:rFonts w:hint="default" w:ascii="Times New Roman" w:hAnsi="Times New Roman" w:eastAsia="宋体" w:cs="Times New Roman"/>
                <w:sz w:val="24"/>
                <w:szCs w:val="24"/>
                <w:highlight w:val="none"/>
                <w:lang w:val="en-US" w:eastAsia="zh-CN"/>
              </w:rPr>
              <w:t>探测器</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能量补偿型GM管</w:t>
            </w:r>
            <w:r>
              <w:rPr>
                <w:rFonts w:hint="eastAsia" w:ascii="Times New Roman" w:hAnsi="Times New Roman" w:eastAsia="宋体" w:cs="Times New Roman"/>
                <w:sz w:val="24"/>
                <w:szCs w:val="24"/>
                <w:highlight w:val="none"/>
                <w:lang w:val="en-US" w:eastAsia="zh-CN"/>
              </w:rPr>
              <w:t>；</w:t>
            </w:r>
          </w:p>
          <w:p w14:paraId="528CD15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②</w:t>
            </w:r>
            <w:r>
              <w:rPr>
                <w:rFonts w:hint="default" w:ascii="Times New Roman" w:hAnsi="Times New Roman" w:eastAsia="宋体" w:cs="Times New Roman"/>
                <w:sz w:val="24"/>
                <w:szCs w:val="24"/>
                <w:highlight w:val="none"/>
                <w:lang w:val="en-US" w:eastAsia="zh-CN"/>
              </w:rPr>
              <w:t>测量范围</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0.1μSv/h – 10</w:t>
            </w:r>
            <w:r>
              <w:rPr>
                <w:rFonts w:hint="eastAsia" w:cs="Times New Roman"/>
                <w:sz w:val="24"/>
                <w:szCs w:val="24"/>
                <w:highlight w:val="none"/>
                <w:lang w:val="en-US" w:eastAsia="zh-CN"/>
              </w:rPr>
              <w:t>0m</w:t>
            </w:r>
            <w:r>
              <w:rPr>
                <w:rFonts w:hint="default" w:ascii="Times New Roman" w:hAnsi="Times New Roman" w:eastAsia="宋体" w:cs="Times New Roman"/>
                <w:sz w:val="24"/>
                <w:szCs w:val="24"/>
                <w:highlight w:val="none"/>
                <w:lang w:val="en-US" w:eastAsia="zh-CN"/>
              </w:rPr>
              <w:t>Sv/h</w:t>
            </w:r>
            <w:r>
              <w:rPr>
                <w:rFonts w:hint="eastAsia" w:ascii="Times New Roman" w:hAnsi="Times New Roman" w:eastAsia="宋体" w:cs="Times New Roman"/>
                <w:sz w:val="24"/>
                <w:szCs w:val="24"/>
                <w:highlight w:val="none"/>
                <w:lang w:val="en-US" w:eastAsia="zh-CN"/>
              </w:rPr>
              <w:t>；</w:t>
            </w:r>
          </w:p>
          <w:p w14:paraId="2D65AB7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③</w:t>
            </w:r>
            <w:r>
              <w:rPr>
                <w:rFonts w:hint="default" w:ascii="Times New Roman" w:hAnsi="Times New Roman" w:eastAsia="宋体" w:cs="Times New Roman"/>
                <w:sz w:val="24"/>
                <w:szCs w:val="24"/>
                <w:highlight w:val="none"/>
                <w:lang w:val="en-US" w:eastAsia="zh-CN"/>
              </w:rPr>
              <w:t>剂量范围</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0. 1μSv – 10Sv</w:t>
            </w:r>
            <w:r>
              <w:rPr>
                <w:rFonts w:hint="eastAsia" w:ascii="Times New Roman" w:hAnsi="Times New Roman" w:eastAsia="宋体" w:cs="Times New Roman"/>
                <w:sz w:val="24"/>
                <w:szCs w:val="24"/>
                <w:highlight w:val="none"/>
                <w:lang w:val="en-US" w:eastAsia="zh-CN"/>
              </w:rPr>
              <w:t>；</w:t>
            </w:r>
          </w:p>
          <w:p w14:paraId="2061E5A0">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④</w:t>
            </w:r>
            <w:r>
              <w:rPr>
                <w:rFonts w:hint="default" w:ascii="Times New Roman" w:hAnsi="Times New Roman" w:eastAsia="宋体" w:cs="Times New Roman"/>
                <w:sz w:val="24"/>
                <w:szCs w:val="24"/>
                <w:highlight w:val="none"/>
                <w:lang w:val="en-US" w:eastAsia="zh-CN"/>
              </w:rPr>
              <w:t>能量范围</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40keV – 3MeV</w:t>
            </w:r>
            <w:r>
              <w:rPr>
                <w:rFonts w:hint="eastAsia" w:ascii="Times New Roman" w:hAnsi="Times New Roman" w:eastAsia="宋体" w:cs="Times New Roman"/>
                <w:sz w:val="24"/>
                <w:szCs w:val="24"/>
                <w:highlight w:val="none"/>
                <w:lang w:val="en-US" w:eastAsia="zh-CN"/>
              </w:rPr>
              <w:t>；</w:t>
            </w:r>
          </w:p>
          <w:p w14:paraId="2398CEA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⑤</w:t>
            </w:r>
            <w:r>
              <w:rPr>
                <w:rFonts w:hint="default" w:ascii="Times New Roman" w:hAnsi="Times New Roman" w:eastAsia="宋体" w:cs="Times New Roman"/>
                <w:sz w:val="24"/>
                <w:szCs w:val="24"/>
                <w:highlight w:val="none"/>
                <w:lang w:val="en-US" w:eastAsia="zh-CN"/>
              </w:rPr>
              <w:t>能量响应</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±30%</w:t>
            </w:r>
            <w:r>
              <w:rPr>
                <w:rFonts w:hint="eastAsia" w:ascii="Times New Roman" w:hAnsi="Times New Roman" w:eastAsia="宋体" w:cs="Times New Roman"/>
                <w:sz w:val="24"/>
                <w:szCs w:val="24"/>
                <w:highlight w:val="none"/>
                <w:lang w:val="en-US" w:eastAsia="zh-CN"/>
              </w:rPr>
              <w:t>；</w:t>
            </w:r>
          </w:p>
          <w:p w14:paraId="5BF93B09">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⑥</w:t>
            </w:r>
            <w:r>
              <w:rPr>
                <w:rFonts w:hint="eastAsia" w:cs="Times New Roman"/>
                <w:sz w:val="24"/>
                <w:szCs w:val="24"/>
                <w:highlight w:val="none"/>
                <w:lang w:val="en-US" w:eastAsia="zh-CN"/>
              </w:rPr>
              <w:t>线性</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±15%</w:t>
            </w:r>
            <w:r>
              <w:rPr>
                <w:rFonts w:hint="eastAsia" w:ascii="Times New Roman" w:hAnsi="Times New Roman" w:eastAsia="宋体" w:cs="Times New Roman"/>
                <w:sz w:val="24"/>
                <w:szCs w:val="24"/>
                <w:highlight w:val="none"/>
                <w:lang w:val="en-US" w:eastAsia="zh-CN"/>
              </w:rPr>
              <w:t>；</w:t>
            </w:r>
          </w:p>
          <w:p w14:paraId="3C62142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⑦</w:t>
            </w:r>
            <w:r>
              <w:rPr>
                <w:rFonts w:hint="default" w:ascii="Times New Roman" w:hAnsi="Times New Roman" w:eastAsia="宋体" w:cs="Times New Roman"/>
                <w:sz w:val="24"/>
                <w:szCs w:val="24"/>
                <w:highlight w:val="none"/>
                <w:lang w:val="en-US" w:eastAsia="zh-CN"/>
              </w:rPr>
              <w:t>灵敏度</w:t>
            </w:r>
            <w:r>
              <w:rPr>
                <w:rFonts w:hint="eastAsia" w:ascii="Times New Roman" w:hAnsi="Times New Roman" w:eastAsia="宋体" w:cs="Times New Roman"/>
                <w:sz w:val="24"/>
                <w:szCs w:val="24"/>
                <w:highlight w:val="none"/>
                <w:lang w:val="en-US" w:eastAsia="zh-CN"/>
              </w:rPr>
              <w:t>：</w:t>
            </w:r>
            <w:r>
              <w:rPr>
                <w:rFonts w:hint="eastAsia"/>
                <w:highlight w:val="none"/>
              </w:rPr>
              <w:t>≤</w:t>
            </w:r>
            <w:r>
              <w:rPr>
                <w:rFonts w:hint="default" w:ascii="Times New Roman" w:hAnsi="Times New Roman" w:eastAsia="宋体" w:cs="Times New Roman"/>
                <w:sz w:val="24"/>
                <w:szCs w:val="24"/>
                <w:highlight w:val="none"/>
                <w:lang w:val="en-US" w:eastAsia="zh-CN"/>
              </w:rPr>
              <w:t>1</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8cps/(10μSv/h)</w:t>
            </w:r>
            <w:r>
              <w:rPr>
                <w:rFonts w:hint="eastAsia" w:ascii="Times New Roman" w:hAnsi="Times New Roman" w:eastAsia="宋体" w:cs="Times New Roman"/>
                <w:sz w:val="24"/>
                <w:szCs w:val="24"/>
                <w:highlight w:val="none"/>
                <w:lang w:val="en-US" w:eastAsia="zh-CN"/>
              </w:rPr>
              <w:t>；</w:t>
            </w:r>
          </w:p>
          <w:p w14:paraId="3C6A7C5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⑧</w:t>
            </w:r>
            <w:r>
              <w:rPr>
                <w:rFonts w:hint="default" w:ascii="Times New Roman" w:hAnsi="Times New Roman" w:eastAsia="宋体" w:cs="Times New Roman"/>
                <w:sz w:val="24"/>
                <w:szCs w:val="24"/>
                <w:highlight w:val="none"/>
                <w:lang w:val="en-US" w:eastAsia="zh-CN"/>
              </w:rPr>
              <w:t>接头</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防水接头，6芯，可锁定</w:t>
            </w:r>
            <w:r>
              <w:rPr>
                <w:rFonts w:hint="eastAsia" w:ascii="Times New Roman" w:hAnsi="Times New Roman" w:eastAsia="宋体" w:cs="Times New Roman"/>
                <w:sz w:val="24"/>
                <w:szCs w:val="24"/>
                <w:highlight w:val="none"/>
                <w:lang w:val="en-US" w:eastAsia="zh-CN"/>
              </w:rPr>
              <w:t>；</w:t>
            </w:r>
          </w:p>
          <w:p w14:paraId="436316DC">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⑨</w:t>
            </w:r>
            <w:r>
              <w:rPr>
                <w:rFonts w:hint="default" w:ascii="Times New Roman" w:hAnsi="Times New Roman" w:eastAsia="宋体" w:cs="Times New Roman"/>
                <w:sz w:val="24"/>
                <w:szCs w:val="24"/>
                <w:highlight w:val="none"/>
                <w:lang w:val="en-US" w:eastAsia="zh-CN"/>
              </w:rPr>
              <w:t>通讯</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支持RS485通讯方式</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支持Modbus协议</w:t>
            </w:r>
            <w:r>
              <w:rPr>
                <w:rFonts w:hint="eastAsia" w:ascii="Times New Roman" w:hAnsi="Times New Roman" w:eastAsia="宋体" w:cs="Times New Roman"/>
                <w:sz w:val="24"/>
                <w:szCs w:val="24"/>
                <w:highlight w:val="none"/>
                <w:lang w:val="en-US" w:eastAsia="zh-CN"/>
              </w:rPr>
              <w:t>；</w:t>
            </w:r>
          </w:p>
          <w:p w14:paraId="11E1E0F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⑩</w:t>
            </w:r>
            <w:r>
              <w:rPr>
                <w:rFonts w:hint="default" w:ascii="Times New Roman" w:hAnsi="Times New Roman" w:eastAsia="宋体" w:cs="Times New Roman"/>
                <w:sz w:val="24"/>
                <w:szCs w:val="24"/>
                <w:highlight w:val="none"/>
                <w:lang w:val="en-US" w:eastAsia="zh-CN"/>
              </w:rPr>
              <w:t>防护等级</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IP66</w:t>
            </w:r>
            <w:r>
              <w:rPr>
                <w:rFonts w:hint="eastAsia" w:ascii="Times New Roman" w:hAnsi="Times New Roman" w:eastAsia="宋体" w:cs="Times New Roman"/>
                <w:sz w:val="24"/>
                <w:szCs w:val="24"/>
                <w:highlight w:val="none"/>
                <w:lang w:val="en-US" w:eastAsia="zh-CN"/>
              </w:rPr>
              <w:t>；</w:t>
            </w:r>
          </w:p>
          <w:p w14:paraId="20E99FA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⑪</w:t>
            </w:r>
            <w:r>
              <w:rPr>
                <w:rFonts w:hint="default" w:ascii="Times New Roman" w:hAnsi="Times New Roman" w:eastAsia="宋体" w:cs="Times New Roman"/>
                <w:sz w:val="24"/>
                <w:szCs w:val="24"/>
                <w:highlight w:val="none"/>
                <w:lang w:val="en-US" w:eastAsia="zh-CN"/>
              </w:rPr>
              <w:t>供电</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9 – 24 VDC</w:t>
            </w:r>
            <w:r>
              <w:rPr>
                <w:rFonts w:hint="eastAsia" w:ascii="Times New Roman" w:hAnsi="Times New Roman" w:eastAsia="宋体" w:cs="Times New Roman"/>
                <w:sz w:val="24"/>
                <w:szCs w:val="24"/>
                <w:highlight w:val="none"/>
                <w:lang w:val="en-US" w:eastAsia="zh-CN"/>
              </w:rPr>
              <w:t>；</w:t>
            </w:r>
          </w:p>
          <w:p w14:paraId="30DDBD3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⑫</w:t>
            </w:r>
            <w:r>
              <w:rPr>
                <w:rFonts w:hint="default" w:ascii="Times New Roman" w:hAnsi="Times New Roman" w:eastAsia="宋体" w:cs="Times New Roman"/>
                <w:sz w:val="24"/>
                <w:szCs w:val="24"/>
                <w:highlight w:val="none"/>
                <w:lang w:val="en-US" w:eastAsia="zh-CN"/>
              </w:rPr>
              <w:t>尺寸</w:t>
            </w:r>
            <w:r>
              <w:rPr>
                <w:rFonts w:hint="eastAsia" w:ascii="Times New Roman" w:hAnsi="Times New Roman" w:eastAsia="宋体" w:cs="Times New Roman"/>
                <w:sz w:val="24"/>
                <w:szCs w:val="24"/>
                <w:highlight w:val="none"/>
                <w:lang w:val="en-US" w:eastAsia="zh-CN"/>
              </w:rPr>
              <w:t>：</w:t>
            </w:r>
            <w:r>
              <w:rPr>
                <w:rFonts w:hint="eastAsia"/>
                <w:highlight w:val="none"/>
              </w:rPr>
              <w:t>≤</w:t>
            </w:r>
            <w:r>
              <w:rPr>
                <w:rFonts w:hint="default" w:ascii="Times New Roman" w:hAnsi="Times New Roman" w:eastAsia="宋体" w:cs="Times New Roman"/>
                <w:sz w:val="24"/>
                <w:szCs w:val="24"/>
                <w:highlight w:val="none"/>
                <w:lang w:val="en-US" w:eastAsia="zh-CN"/>
              </w:rPr>
              <w:t>ϕ40×284mm</w:t>
            </w:r>
            <w:r>
              <w:rPr>
                <w:rFonts w:hint="eastAsia" w:ascii="Times New Roman" w:hAnsi="Times New Roman" w:eastAsia="宋体" w:cs="Times New Roman"/>
                <w:sz w:val="24"/>
                <w:szCs w:val="24"/>
                <w:highlight w:val="none"/>
                <w:lang w:val="en-US" w:eastAsia="zh-CN"/>
              </w:rPr>
              <w:t>。</w:t>
            </w:r>
          </w:p>
          <w:p w14:paraId="58FA7D9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（7）其他要求</w:t>
            </w:r>
          </w:p>
          <w:p w14:paraId="24D20E47">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①</w:t>
            </w:r>
            <w:r>
              <w:rPr>
                <w:rFonts w:hint="default" w:ascii="Times New Roman" w:hAnsi="Times New Roman" w:eastAsia="宋体" w:cs="Times New Roman"/>
                <w:sz w:val="24"/>
                <w:szCs w:val="24"/>
                <w:highlight w:val="none"/>
                <w:lang w:val="en-US" w:eastAsia="zh-CN"/>
              </w:rPr>
              <w:t>主机</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1台</w:t>
            </w:r>
          </w:p>
          <w:p w14:paraId="29C7910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default" w:ascii="Times New Roman" w:hAnsi="Times New Roman" w:eastAsia="宋体" w:cs="Times New Roman"/>
                <w:sz w:val="24"/>
                <w:szCs w:val="24"/>
                <w:highlight w:val="none"/>
                <w:lang w:val="en-US" w:eastAsia="zh-CN"/>
              </w:rPr>
            </w:pPr>
            <w:r>
              <w:rPr>
                <w:rFonts w:hint="eastAsia" w:ascii="宋体" w:hAnsi="宋体" w:eastAsia="宋体" w:cstheme="minorEastAsia"/>
                <w:kern w:val="2"/>
                <w:sz w:val="24"/>
                <w:szCs w:val="24"/>
                <w:lang w:val="en-US" w:eastAsia="zh-CN" w:bidi="ar-SA"/>
              </w:rPr>
              <w:t>②</w:t>
            </w:r>
            <w:r>
              <w:rPr>
                <w:rFonts w:hint="default" w:ascii="Times New Roman" w:hAnsi="Times New Roman" w:eastAsia="宋体" w:cs="Times New Roman"/>
                <w:sz w:val="24"/>
                <w:szCs w:val="24"/>
                <w:highlight w:val="none"/>
                <w:lang w:val="en-US" w:eastAsia="zh-CN"/>
              </w:rPr>
              <w:t>探测器</w:t>
            </w:r>
            <w:r>
              <w:rPr>
                <w:rFonts w:hint="eastAsia"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个</w:t>
            </w:r>
          </w:p>
          <w:p w14:paraId="6B1705A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400" w:firstLineChars="0"/>
              <w:textAlignment w:val="auto"/>
              <w:rPr>
                <w:rFonts w:hint="eastAsia"/>
                <w:highlight w:val="none"/>
                <w:lang w:val="en-US" w:eastAsia="zh-CN"/>
              </w:rPr>
            </w:pPr>
            <w:r>
              <w:rPr>
                <w:rFonts w:hint="eastAsia" w:ascii="宋体" w:hAnsi="宋体" w:eastAsia="宋体" w:cstheme="minorEastAsia"/>
                <w:kern w:val="2"/>
                <w:sz w:val="24"/>
                <w:szCs w:val="24"/>
                <w:lang w:val="en-US" w:eastAsia="zh-CN" w:bidi="ar-SA"/>
              </w:rPr>
              <w:t>③</w:t>
            </w:r>
            <w:r>
              <w:rPr>
                <w:rFonts w:hint="default" w:ascii="Times New Roman" w:hAnsi="Times New Roman" w:eastAsia="宋体" w:cs="Times New Roman"/>
                <w:sz w:val="24"/>
                <w:szCs w:val="24"/>
                <w:highlight w:val="none"/>
                <w:lang w:val="en-US" w:eastAsia="zh-CN"/>
              </w:rPr>
              <w:t>相关安装配件</w:t>
            </w:r>
            <w:r>
              <w:rPr>
                <w:rFonts w:hint="eastAsia"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1套</w:t>
            </w:r>
          </w:p>
          <w:p w14:paraId="11324C6E">
            <w:pPr>
              <w:pStyle w:val="6"/>
              <w:keepNext w:val="0"/>
              <w:keepLines w:val="0"/>
              <w:pageBreakBefore w:val="0"/>
              <w:widowControl w:val="0"/>
              <w:numPr>
                <w:ilvl w:val="0"/>
                <w:numId w:val="0"/>
              </w:numPr>
              <w:kinsoku/>
              <w:wordWrap/>
              <w:overflowPunct/>
              <w:topLinePunct w:val="0"/>
              <w:autoSpaceDE/>
              <w:autoSpaceDN/>
              <w:bidi w:val="0"/>
              <w:adjustRightInd/>
              <w:snapToGrid/>
              <w:spacing w:before="78" w:line="5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914" w:hRule="atLeast"/>
        </w:trPr>
        <w:tc>
          <w:tcPr>
            <w:tcW w:w="1565" w:type="pct"/>
            <w:tcBorders>
              <w:bottom w:val="single" w:color="auto" w:sz="4" w:space="0"/>
            </w:tcBorders>
            <w:noWrap w:val="0"/>
            <w:vAlign w:val="center"/>
          </w:tcPr>
          <w:p w14:paraId="52A740F5">
            <w:pPr>
              <w:pStyle w:val="6"/>
              <w:spacing w:before="136" w:line="22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其他要求</w:t>
            </w:r>
          </w:p>
        </w:tc>
        <w:tc>
          <w:tcPr>
            <w:tcW w:w="3434" w:type="pct"/>
            <w:tcBorders>
              <w:bottom w:val="single" w:color="auto" w:sz="4" w:space="0"/>
            </w:tcBorders>
            <w:noWrap w:val="0"/>
            <w:vAlign w:val="center"/>
          </w:tcPr>
          <w:p w14:paraId="606E5A19">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需提供增值税专用发票；</w:t>
            </w:r>
          </w:p>
          <w:p w14:paraId="2F12E50B">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供应商所供货品必须满足或优于以上技术标准及参数，不符合采购人采购需求的供应商视为符合性审查不通过；</w:t>
            </w:r>
          </w:p>
          <w:p w14:paraId="5E57A717">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供应商须承诺所供货品提供不少于1年的质保期；</w:t>
            </w:r>
          </w:p>
          <w:p w14:paraId="6A541B01">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供应商安装调试后需提供第三方机构检定校准证书用于机场危险品运输备案；</w:t>
            </w:r>
          </w:p>
          <w:p w14:paraId="55595067">
            <w:pPr>
              <w:pStyle w:val="6"/>
              <w:keepNext w:val="0"/>
              <w:keepLines w:val="0"/>
              <w:pageBreakBefore w:val="0"/>
              <w:widowControl w:val="0"/>
              <w:numPr>
                <w:ilvl w:val="0"/>
                <w:numId w:val="5"/>
              </w:numPr>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若排名第一的中选候选人放弃中选资格或因无法履约等情况被取消中选资格时，采购人有权将其拉入采购黑名单，同时不退还询价保证金，并要求其补足第二名的报价差额。</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576" w:hRule="atLeast"/>
        </w:trPr>
        <w:tc>
          <w:tcPr>
            <w:tcW w:w="5000" w:type="pct"/>
            <w:gridSpan w:val="2"/>
            <w:tcBorders>
              <w:top w:val="single" w:color="auto" w:sz="4" w:space="0"/>
            </w:tcBorders>
            <w:noWrap w:val="0"/>
            <w:vAlign w:val="center"/>
          </w:tcPr>
          <w:p w14:paraId="29B26C7E">
            <w:pPr>
              <w:pStyle w:val="6"/>
              <w:spacing w:before="118" w:line="219" w:lineRule="auto"/>
              <w:ind w:left="114"/>
              <w:jc w:val="lef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备注：</w:t>
            </w:r>
          </w:p>
        </w:tc>
      </w:tr>
    </w:tbl>
    <w:p w14:paraId="343E4E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CED67"/>
    <w:multiLevelType w:val="multilevel"/>
    <w:tmpl w:val="F96CED67"/>
    <w:lvl w:ilvl="0" w:tentative="0">
      <w:start w:val="1"/>
      <w:numFmt w:val="decimal"/>
      <w:lvlText w:val="%1."/>
      <w:lvlJc w:val="left"/>
      <w:pPr>
        <w:ind w:left="425" w:hanging="425"/>
      </w:pPr>
      <w:rPr>
        <w:rFonts w:hint="default"/>
      </w:rPr>
    </w:lvl>
    <w:lvl w:ilvl="1" w:tentative="0">
      <w:start w:val="1"/>
      <w:numFmt w:val="decimal"/>
      <w:pStyle w:val="2"/>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F9BF7A5A"/>
    <w:multiLevelType w:val="singleLevel"/>
    <w:tmpl w:val="F9BF7A5A"/>
    <w:lvl w:ilvl="0" w:tentative="0">
      <w:start w:val="1"/>
      <w:numFmt w:val="decimal"/>
      <w:suff w:val="nothing"/>
      <w:lvlText w:val="(%1)"/>
      <w:lvlJc w:val="left"/>
      <w:pPr>
        <w:ind w:left="845" w:hanging="425"/>
      </w:pPr>
      <w:rPr>
        <w:rFonts w:hint="default"/>
      </w:rPr>
    </w:lvl>
  </w:abstractNum>
  <w:abstractNum w:abstractNumId="2">
    <w:nsid w:val="3E9F75D8"/>
    <w:multiLevelType w:val="singleLevel"/>
    <w:tmpl w:val="3E9F75D8"/>
    <w:lvl w:ilvl="0" w:tentative="0">
      <w:start w:val="1"/>
      <w:numFmt w:val="decimal"/>
      <w:lvlText w:val="%1."/>
      <w:lvlJc w:val="left"/>
      <w:pPr>
        <w:tabs>
          <w:tab w:val="left" w:pos="312"/>
        </w:tabs>
      </w:pPr>
    </w:lvl>
  </w:abstractNum>
  <w:abstractNum w:abstractNumId="3">
    <w:nsid w:val="51853BE2"/>
    <w:multiLevelType w:val="singleLevel"/>
    <w:tmpl w:val="51853BE2"/>
    <w:lvl w:ilvl="0" w:tentative="0">
      <w:start w:val="2"/>
      <w:numFmt w:val="decimal"/>
      <w:suff w:val="nothing"/>
      <w:lvlText w:val="%1、"/>
      <w:lvlJc w:val="left"/>
    </w:lvl>
  </w:abstractNum>
  <w:abstractNum w:abstractNumId="4">
    <w:nsid w:val="71CE214E"/>
    <w:multiLevelType w:val="singleLevel"/>
    <w:tmpl w:val="71CE214E"/>
    <w:lvl w:ilvl="0" w:tentative="0">
      <w:start w:val="1"/>
      <w:numFmt w:val="decimal"/>
      <w:suff w:val="nothing"/>
      <w:lvlText w:val="(%1)"/>
      <w:lvlJc w:val="left"/>
      <w:pPr>
        <w:ind w:left="845" w:hanging="425"/>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47BE0"/>
    <w:rsid w:val="6F14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widowControl w:val="0"/>
      <w:numPr>
        <w:ilvl w:val="1"/>
        <w:numId w:val="1"/>
      </w:numPr>
      <w:snapToGrid w:val="0"/>
      <w:spacing w:before="50" w:beforeLines="50" w:beforeAutospacing="0" w:afterLines="0" w:afterAutospacing="0" w:line="360" w:lineRule="auto"/>
      <w:ind w:left="0" w:firstLine="0"/>
      <w:jc w:val="left"/>
      <w:outlineLvl w:val="1"/>
    </w:pPr>
    <w:rPr>
      <w:rFonts w:ascii="Times New Roman" w:hAnsi="Times New Roman" w:eastAsia="宋体" w:cstheme="minorBidi"/>
      <w:b/>
      <w:bCs/>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customStyle="1" w:styleId="6">
    <w:name w:val="Table Text"/>
    <w:basedOn w:val="1"/>
    <w:autoRedefine/>
    <w:semiHidden/>
    <w:qFormat/>
    <w:uiPriority w:val="0"/>
    <w:rPr>
      <w:rFonts w:ascii="宋体" w:hAnsi="宋体" w:eastAsia="宋体" w:cs="宋体"/>
      <w:sz w:val="24"/>
      <w:szCs w:val="24"/>
      <w:lang w:val="en-US" w:eastAsia="en-US" w:bidi="ar-SA"/>
    </w:rPr>
  </w:style>
  <w:style w:type="table" w:customStyle="1" w:styleId="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2025-05-12T06:07:00Z</dcterms:created>
  <dc:creator>yuhong</dc:creator>
  <cp:lastModifiedBy>yuhong</cp:lastModifiedBy>
  <dcterms:modified xsi:type="dcterms:W3CDTF">2025-05-12T06:07:25Z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E488AEA130794F7FA9CFF967335328E8_11</vt:lpwstr>
  </property>
  <property fmtid="{D5CDD505-2E9C-101B-9397-08002B2CF9AE}" pid="4" name="KSOTemplateDocerSaveRecord">
    <vt:lpwstr>eyJoZGlkIjoiNjcwMTQzZDU4MjhmZTEwYjE2YzljOGFlZGUxODRkMTMiLCJ1c2VySWQiOiI1NDc5NTQzODgifQ==</vt:lpwstr>
  </property>
</Properties>
</file>