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2CA8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：</w:t>
      </w:r>
    </w:p>
    <w:p w14:paraId="06DD313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bookmarkEnd w:id="0"/>
    <w:p w14:paraId="1A782C1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6564"/>
      </w:tblGrid>
      <w:tr w14:paraId="5B6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93" w:type="pct"/>
            <w:noWrap w:val="0"/>
            <w:vAlign w:val="center"/>
          </w:tcPr>
          <w:p w14:paraId="018BF5C6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906" w:type="pct"/>
            <w:noWrap w:val="0"/>
            <w:vAlign w:val="center"/>
          </w:tcPr>
          <w:p w14:paraId="5923B9EB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绵阳机场T1航站楼高架桥两侧充电装置配套电力设施安装（第二次）</w:t>
            </w:r>
          </w:p>
        </w:tc>
      </w:tr>
      <w:tr w14:paraId="2736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93" w:type="pct"/>
            <w:noWrap w:val="0"/>
            <w:vAlign w:val="center"/>
          </w:tcPr>
          <w:p w14:paraId="1283A077">
            <w:pPr>
              <w:pStyle w:val="4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项目内容</w:t>
            </w:r>
          </w:p>
        </w:tc>
        <w:tc>
          <w:tcPr>
            <w:tcW w:w="3906" w:type="pct"/>
            <w:shd w:val="clear" w:color="auto" w:fill="auto"/>
            <w:noWrap w:val="0"/>
            <w:vAlign w:val="center"/>
          </w:tcPr>
          <w:p w14:paraId="57FDFECB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敷设安装VV-0.6/1KV-3*16 低压电缆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119米，采用明敷和暗敷相结合的方式（电缆品牌为远东电缆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上上电缆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特变电工）；</w:t>
            </w:r>
          </w:p>
          <w:p w14:paraId="74DBBA13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安装、调试配电箱两台（须安装计量电表、漏电开关、单极开关等配置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，其中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电气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开关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品牌为正泰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德力西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天正）；</w:t>
            </w:r>
          </w:p>
          <w:p w14:paraId="277593CE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电缆通道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21.5米开挖并恢复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4993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93" w:type="pct"/>
            <w:noWrap w:val="0"/>
            <w:vAlign w:val="center"/>
          </w:tcPr>
          <w:p w14:paraId="3F98BA58">
            <w:pPr>
              <w:pStyle w:val="4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敷设要求</w:t>
            </w:r>
          </w:p>
        </w:tc>
        <w:tc>
          <w:tcPr>
            <w:tcW w:w="3906" w:type="pct"/>
            <w:shd w:val="clear" w:color="auto" w:fill="auto"/>
            <w:noWrap w:val="0"/>
            <w:vAlign w:val="center"/>
          </w:tcPr>
          <w:p w14:paraId="0D378786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（一）敷设方式</w:t>
            </w:r>
          </w:p>
          <w:p w14:paraId="6E875D6D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1.明敷：沿墙面或桥架固定，采用线槽或PVC管保护，间距≤1m设置管卡；</w:t>
            </w:r>
          </w:p>
          <w:p w14:paraId="13FF69B7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2.暗敷：预埋于墙体或地面，穿管保护，避免直角弯（弯角≥90°）；</w:t>
            </w:r>
          </w:p>
          <w:p w14:paraId="2FE2C38E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3.埋地敷设：深度≥0.7m，穿管保护，电缆上方设警示带。</w:t>
            </w:r>
          </w:p>
          <w:p w14:paraId="07EB2630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（二）电缆连接</w:t>
            </w:r>
          </w:p>
          <w:p w14:paraId="4D5F492C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采用压接端子或焊接，绝缘层无破损，接头处用绝缘胶带+热缩管双重保护。</w:t>
            </w:r>
          </w:p>
          <w:p w14:paraId="0AE41938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（三）配电箱安装</w:t>
            </w:r>
          </w:p>
          <w:p w14:paraId="4B6B07BE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1.箱体安装高度1.8m（底边距地），垂直度偏差≤1.5mm/m；</w:t>
            </w:r>
          </w:p>
          <w:p w14:paraId="3EE6C645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2.箱内开关按负载分路，标注回路名称；</w:t>
            </w:r>
          </w:p>
          <w:p w14:paraId="0340CD93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3.接地可靠，接地电阻≤4Ω。</w:t>
            </w:r>
          </w:p>
        </w:tc>
      </w:tr>
      <w:tr w14:paraId="1FF7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93" w:type="pct"/>
            <w:noWrap w:val="0"/>
            <w:vAlign w:val="center"/>
          </w:tcPr>
          <w:p w14:paraId="46667B65">
            <w:pPr>
              <w:pStyle w:val="4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调试与验收</w:t>
            </w:r>
          </w:p>
        </w:tc>
        <w:tc>
          <w:tcPr>
            <w:tcW w:w="3906" w:type="pct"/>
            <w:shd w:val="clear" w:color="auto" w:fill="auto"/>
            <w:noWrap w:val="0"/>
            <w:vAlign w:val="center"/>
          </w:tcPr>
          <w:p w14:paraId="2456B4F1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1.通电前检查：线路无短路、接地等故障；</w:t>
            </w:r>
          </w:p>
          <w:p w14:paraId="24000ECE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2.负载测试：逐路通电，测试电压稳定性及保护装置动作灵敏度；</w:t>
            </w:r>
          </w:p>
          <w:p w14:paraId="7C8EFC73"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3.验收文件：提供电缆合格证、隐蔽工程记录、试验报告等。</w:t>
            </w:r>
          </w:p>
        </w:tc>
      </w:tr>
      <w:tr w14:paraId="6127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D4870E">
            <w:pPr>
              <w:pStyle w:val="4"/>
              <w:spacing w:before="118" w:line="219" w:lineRule="auto"/>
              <w:ind w:left="114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 项目执行标准须满足国家及行业相关要求，后附施工方案及工程量清单。</w:t>
            </w:r>
          </w:p>
        </w:tc>
      </w:tr>
    </w:tbl>
    <w:p w14:paraId="56D97362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施工方案</w:t>
      </w:r>
    </w:p>
    <w:p w14:paraId="5BC739A9">
      <w:pPr>
        <w:pStyle w:val="4"/>
        <w:spacing w:before="137" w:line="22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8"/>
          <w:lang w:val="en-US" w:eastAsia="zh-CN" w:bidi="ar-SA"/>
        </w:rPr>
      </w:pPr>
    </w:p>
    <w:p w14:paraId="0A8A95CB">
      <w:pPr>
        <w:spacing w:line="360" w:lineRule="exact"/>
        <w:jc w:val="left"/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  <w:t>1号点位</w:t>
      </w:r>
    </w:p>
    <w:p w14:paraId="6756403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drawing>
          <wp:inline distT="0" distB="0" distL="114300" distR="114300">
            <wp:extent cx="5266055" cy="3315970"/>
            <wp:effectExtent l="0" t="0" r="10795" b="17780"/>
            <wp:docPr id="2" name="图片 2" descr="企业微信截图_17479822495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479822495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B3625"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</w:pPr>
    </w:p>
    <w:p w14:paraId="048407DE">
      <w:pPr>
        <w:spacing w:line="360" w:lineRule="exact"/>
        <w:jc w:val="left"/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  <w:t>2号点位</w:t>
      </w:r>
    </w:p>
    <w:p w14:paraId="54BA07F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40F18F8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drawing>
          <wp:inline distT="0" distB="0" distL="114300" distR="114300">
            <wp:extent cx="5266055" cy="3081655"/>
            <wp:effectExtent l="0" t="0" r="10795" b="4445"/>
            <wp:docPr id="1" name="图片 1" descr="企业微信截图_1747982196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4798219659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615B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0347AAE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7F58A95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4B4F5FB9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工程量清单</w:t>
      </w:r>
    </w:p>
    <w:p w14:paraId="1FFED4C0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401"/>
        <w:gridCol w:w="2197"/>
        <w:gridCol w:w="948"/>
        <w:gridCol w:w="1052"/>
      </w:tblGrid>
      <w:tr w14:paraId="51AF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2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3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8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2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8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</w:tr>
      <w:tr w14:paraId="12A5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3CB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3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1号点位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440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066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BE2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1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F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计量箱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3F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6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3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11D2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7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E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8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VV-0.6/1KV-3*16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A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1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</w:tr>
      <w:tr w14:paraId="65FA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9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D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终端头SY-3.1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7D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D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502F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A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9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电缆调试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9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VV-0.6/1KV-3*16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E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D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55B7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A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电缆通道</w:t>
            </w:r>
          </w:p>
        </w:tc>
        <w:tc>
          <w:tcPr>
            <w:tcW w:w="1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4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水泥路面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C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D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2E82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F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2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电缆通道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8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地砖路面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E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B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</w:tr>
      <w:tr w14:paraId="7C7A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A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9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电缆通道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F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F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1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</w:tr>
      <w:tr w14:paraId="2B38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D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3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2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φ25PVC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</w:tr>
      <w:tr w14:paraId="1A0C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3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B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塑料管卡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9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8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6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</w:tr>
      <w:tr w14:paraId="1009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2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F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管枕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1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3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</w:tr>
      <w:tr w14:paraId="752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7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8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D9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3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2CA4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1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E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电缆警示带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26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6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F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</w:tr>
      <w:tr w14:paraId="5689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电缆标识牌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71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C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4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3A22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8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4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电缆标志桩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8E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D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4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65A5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96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D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2号点位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AB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93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E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F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2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B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计量箱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AE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6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C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280D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7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5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8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VV-0.6/1KV-3*16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8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2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  <w:tr w14:paraId="5B63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F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终端头SY-3.1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F5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6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B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0B76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0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E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电缆调试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6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VV-0.6/1KV-3*16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E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674F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6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电缆通道</w:t>
            </w:r>
          </w:p>
        </w:tc>
        <w:tc>
          <w:tcPr>
            <w:tcW w:w="1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0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素土开挖回填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A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 w14:paraId="0F71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7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C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4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φ25PVC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0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2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</w:tr>
      <w:tr w14:paraId="10E2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D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9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管枕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3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9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A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</w:tr>
      <w:tr w14:paraId="0C95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F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E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塑料管卡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E0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8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9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</w:tr>
      <w:tr w14:paraId="06F1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1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D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电缆警示带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01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0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F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 w14:paraId="466C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4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5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电缆标识牌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8E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1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2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</w:tbl>
    <w:p w14:paraId="043273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CF096"/>
    <w:multiLevelType w:val="singleLevel"/>
    <w:tmpl w:val="82CCF0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2025-06-16T03:06:26Z</dcterms:created>
  <dc:creator>Administrator</dc:creator>
  <cp:lastModifiedBy>liyuhong</cp:lastModifiedBy>
  <dcterms:modified xsi:type="dcterms:W3CDTF">2025-06-16T03:06:34Z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6C187D35EDF74F4097417942F0D6536D_12</vt:lpwstr>
  </property>
</Properties>
</file>